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5.png" ContentType="image/png"/>
  <Override PartName="/word/media/image14.png" ContentType="image/png"/>
  <Override PartName="/word/media/image13.png" ContentType="image/png"/>
  <Override PartName="/word/media/image12.png" ContentType="image/png"/>
  <Override PartName="/word/media/image11.png" ContentType="image/png"/>
  <Override PartName="/word/media/image4.png" ContentType="image/png"/>
  <Override PartName="/word/media/image3.png" ContentType="image/png"/>
  <Override PartName="/word/media/image2.png" ContentType="image/png"/>
  <Override PartName="/word/media/image1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10.png" ContentType="image/png"/>
  <Override PartName="/word/media/image9.png" ContentType="image/png"/>
  <Override PartName="/word/header1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Доклад заместителя главы Каслинского муниципального района на публичных слушаниях по проекту решения Собрания депутатов Каслинского муниципального района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Бюджета Каслинского муниципального района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на 2022 год и на плановый период 2023 и 2024 годов» 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«10».12.2021 г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Уважаемые участники публичных слушаний!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/>
        <w:drawing>
          <wp:inline distT="0" distB="0" distL="0" distR="0">
            <wp:extent cx="3816985" cy="2862580"/>
            <wp:effectExtent l="0" t="0" r="0" b="0"/>
            <wp:docPr id="1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 бюджета Каслинского муниципального района сформирован на трехлетний период, на 2022 год и плановый период 2023 - 2024 годов, в соответствии с: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нормами действующего бюджетного и налогового законодательства Российской Федерации;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- Федеральным законом №131-ФЗ от 06.10.2003 «Об общих принципах организации местного самоуправления в Российской Федерации»;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Положением о бюджетном процессе в Каслинском муниципальном районе.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Доходы</w:t>
      </w:r>
    </w:p>
    <w:p>
      <w:pPr>
        <w:pStyle w:val="Normal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3816985" cy="2862580"/>
            <wp:effectExtent l="0" t="0" r="0" b="0"/>
            <wp:docPr id="2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доходов районного бюджета определен на основе консервативного варианта прогноза социально-экономического развития Каслинского муниципального района. Несмотря на это рост к первоначальному бюджету 2021 года составляет 9,9%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eastAsia="Calibri"/>
          <w:sz w:val="28"/>
          <w:szCs w:val="28"/>
        </w:rPr>
      </w:pPr>
      <w:r>
        <w:rPr/>
        <w:tab/>
      </w:r>
      <w:r>
        <w:rPr>
          <w:rFonts w:eastAsia="Calibri"/>
          <w:sz w:val="28"/>
          <w:szCs w:val="28"/>
        </w:rPr>
        <w:t xml:space="preserve">Доходы бюджета </w:t>
      </w:r>
      <w:r>
        <w:rPr>
          <w:sz w:val="28"/>
          <w:szCs w:val="28"/>
        </w:rPr>
        <w:t>Каслинского муниципального района</w:t>
      </w:r>
      <w:r>
        <w:rPr>
          <w:rFonts w:eastAsia="Calibri"/>
          <w:sz w:val="28"/>
          <w:szCs w:val="28"/>
        </w:rPr>
        <w:t xml:space="preserve"> прогнозируются:</w:t>
      </w:r>
    </w:p>
    <w:p>
      <w:pPr>
        <w:pStyle w:val="Normal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 2022 год – в сумме 1 468,97 млн. рублей, из них более 22% налоговые и неналоговые доходы в сумме 328,75 млн. рублей ; </w:t>
      </w:r>
    </w:p>
    <w:p>
      <w:pPr>
        <w:pStyle w:val="Normal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 2023 год – в сумме 1 604,75 млн. рублей, из них налоговые и неналоговые доходы 340,3 млн. рублей;</w:t>
      </w:r>
    </w:p>
    <w:p>
      <w:pPr>
        <w:pStyle w:val="Normal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 2024 год – в сумме 1 797,48 млн. рублей, из них налоговые и неналоговые доходы 359,74 млн. рублей.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3816985" cy="2862580"/>
            <wp:effectExtent l="0" t="0" r="0" b="0"/>
            <wp:docPr id="3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Структура доходов районного бюджета 2022 года включает в себя: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налоговые доходы, в сумме 315,4 млн. рублей;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неналоговые доходы, в сумме 13,4 млн. рублей;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межбюджетные трансферты, в сумме 1 140,2 млн. рублей. </w:t>
      </w:r>
    </w:p>
    <w:p>
      <w:pPr>
        <w:pStyle w:val="Normal"/>
        <w:ind w:firstLine="708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3816985" cy="2862580"/>
            <wp:effectExtent l="0" t="0" r="0" b="0"/>
            <wp:docPr id="4" name="Рисунок 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7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источником налоговых доходов (81,2%) в районном бюджете является </w:t>
      </w:r>
      <w:r>
        <w:rPr>
          <w:b/>
          <w:sz w:val="28"/>
          <w:szCs w:val="28"/>
        </w:rPr>
        <w:t>налог на доходы физических лиц</w:t>
      </w:r>
      <w:r>
        <w:rPr>
          <w:sz w:val="28"/>
          <w:szCs w:val="28"/>
        </w:rPr>
        <w:t xml:space="preserve"> и прогнозируемое поступление его в 2022 году составляет 256,1 млн. рублей. Данный источник в бюджете района рассчитан с учетом дополнительного норматива отчислений от налога на доходы физических лиц, заменяющего часть дотации на выравнивание бюджетной обеспеченности муниципальных районов и его величина определена на 2022 год в областном бюджете в размере 57, 08 %, практически на уровне 2021 года.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Поступление</w:t>
      </w:r>
      <w:r>
        <w:rPr>
          <w:b/>
          <w:sz w:val="28"/>
          <w:szCs w:val="28"/>
        </w:rPr>
        <w:t xml:space="preserve"> Акцизов</w:t>
      </w:r>
      <w:r>
        <w:rPr>
          <w:sz w:val="28"/>
          <w:szCs w:val="28"/>
        </w:rPr>
        <w:t xml:space="preserve"> на нефтепродукты прогнозируется в 2022 году в сумме 24,6 млн. рублей, с ростом к 2021 году – 5%. За счет данного источника решаются вопросы местного значения в сфере дорожной деятельности района и сельских поселений.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Доходы от налога, </w:t>
      </w:r>
      <w:r>
        <w:rPr>
          <w:b/>
          <w:sz w:val="28"/>
          <w:szCs w:val="28"/>
        </w:rPr>
        <w:t>взимаемого в связи с применением упрощенной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системы налогообложения,</w:t>
      </w:r>
      <w:r>
        <w:rPr>
          <w:sz w:val="28"/>
          <w:szCs w:val="28"/>
        </w:rPr>
        <w:t xml:space="preserve"> рассчитан в 2022 году в сумме 21,6 млн. рублей,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Прочие налоговые доходы в структуре составляют 4,1%, в сумме 12,99 млн.рубл. К ним относятся:</w:t>
      </w:r>
      <w:r>
        <w:rPr>
          <w:b/>
          <w:sz w:val="28"/>
          <w:szCs w:val="28"/>
        </w:rPr>
        <w:t xml:space="preserve"> Налог на добычу полезных ископаемых</w:t>
      </w:r>
      <w:r>
        <w:rPr>
          <w:sz w:val="28"/>
          <w:szCs w:val="28"/>
        </w:rPr>
        <w:t xml:space="preserve"> и </w:t>
      </w:r>
      <w:r>
        <w:rPr>
          <w:b/>
          <w:sz w:val="28"/>
          <w:szCs w:val="28"/>
        </w:rPr>
        <w:t>государственная пошлина</w:t>
      </w:r>
      <w:r>
        <w:rPr>
          <w:sz w:val="28"/>
          <w:szCs w:val="28"/>
        </w:rPr>
        <w:t>.</w:t>
      </w:r>
    </w:p>
    <w:p>
      <w:pPr>
        <w:pStyle w:val="Normal"/>
        <w:ind w:firstLine="708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firstLine="708"/>
        <w:jc w:val="center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3816985" cy="2862580"/>
            <wp:effectExtent l="0" t="0" r="0" b="0"/>
            <wp:docPr id="5" name="Рисунок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8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2022 году планируется получить </w:t>
      </w:r>
      <w:r>
        <w:rPr>
          <w:b/>
          <w:sz w:val="28"/>
          <w:szCs w:val="28"/>
        </w:rPr>
        <w:t>неналоговых доходов</w:t>
      </w:r>
      <w:r>
        <w:rPr>
          <w:sz w:val="28"/>
          <w:szCs w:val="28"/>
        </w:rPr>
        <w:t xml:space="preserve"> в бюджет района в сумме около  13,37 млн. рублей, в том числе доходов:</w:t>
      </w:r>
    </w:p>
    <w:p>
      <w:pPr>
        <w:pStyle w:val="Normal"/>
        <w:ind w:firstLine="708"/>
        <w:jc w:val="both"/>
        <w:rPr>
          <w:b/>
          <w:b/>
          <w:sz w:val="28"/>
          <w:szCs w:val="28"/>
        </w:rPr>
      </w:pPr>
      <w:r>
        <w:rPr>
          <w:sz w:val="28"/>
          <w:szCs w:val="28"/>
        </w:rPr>
        <w:t xml:space="preserve">- от </w:t>
      </w:r>
      <w:r>
        <w:rPr>
          <w:b/>
          <w:sz w:val="28"/>
          <w:szCs w:val="28"/>
        </w:rPr>
        <w:t xml:space="preserve">аренды земельных участков, государственная собственность на которые не разграничена в сумме </w:t>
      </w:r>
      <w:r>
        <w:rPr>
          <w:sz w:val="28"/>
          <w:szCs w:val="28"/>
        </w:rPr>
        <w:t>8,4 млн. рублей</w:t>
      </w:r>
      <w:r>
        <w:rPr>
          <w:b/>
          <w:sz w:val="28"/>
          <w:szCs w:val="28"/>
        </w:rPr>
        <w:t>;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</w:t>
      </w:r>
      <w:r>
        <w:rPr>
          <w:b/>
          <w:sz w:val="28"/>
          <w:szCs w:val="28"/>
        </w:rPr>
        <w:t xml:space="preserve">продажи земельных участков, государственная собственность на которые не разграничена </w:t>
      </w:r>
      <w:r>
        <w:rPr>
          <w:sz w:val="28"/>
          <w:szCs w:val="28"/>
        </w:rPr>
        <w:t xml:space="preserve">– 0,9 тыс. рублей;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</w:t>
      </w:r>
      <w:r>
        <w:rPr>
          <w:b/>
          <w:sz w:val="28"/>
          <w:szCs w:val="28"/>
        </w:rPr>
        <w:t>реализации муниципального имущества</w:t>
      </w:r>
      <w:r>
        <w:rPr>
          <w:sz w:val="28"/>
          <w:szCs w:val="28"/>
        </w:rPr>
        <w:t xml:space="preserve"> – 1,2 млн. рублей;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Прочих неналоговых доходов 2,8 млн.руб.: к ним относятся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штрафы</w:t>
      </w:r>
      <w:r>
        <w:rPr>
          <w:sz w:val="28"/>
          <w:szCs w:val="28"/>
        </w:rPr>
        <w:t xml:space="preserve"> (1,7 млн. рублей);</w:t>
      </w:r>
    </w:p>
    <w:p>
      <w:pPr>
        <w:pStyle w:val="Normal"/>
        <w:tabs>
          <w:tab w:val="clear" w:pos="708"/>
          <w:tab w:val="left" w:pos="993" w:leader="none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доходы от сдачи в аренду имущества составляющего муниципальную казну </w:t>
      </w:r>
      <w:r>
        <w:rPr>
          <w:sz w:val="28"/>
          <w:szCs w:val="28"/>
        </w:rPr>
        <w:t xml:space="preserve"> (650 тыс. рублей);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доходы от </w:t>
      </w:r>
      <w:r>
        <w:rPr>
          <w:b/>
          <w:sz w:val="28"/>
          <w:szCs w:val="28"/>
        </w:rPr>
        <w:t>платы за негативное воздействие на окружающую среду</w:t>
      </w:r>
      <w:r>
        <w:rPr>
          <w:sz w:val="28"/>
          <w:szCs w:val="28"/>
        </w:rPr>
        <w:t xml:space="preserve"> (248,0 тыс. рублей).</w:t>
      </w:r>
    </w:p>
    <w:p>
      <w:pPr>
        <w:pStyle w:val="Normal"/>
        <w:ind w:firstLine="708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center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3816985" cy="2862580"/>
            <wp:effectExtent l="0" t="0" r="0" b="0"/>
            <wp:docPr id="6" name="Рисунок 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1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FFFFF"/>
        <w:tabs>
          <w:tab w:val="clear" w:pos="708"/>
          <w:tab w:val="left" w:pos="540" w:leader="none"/>
        </w:tabs>
        <w:spacing w:lineRule="auto" w:line="276"/>
        <w:ind w:lef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2022 году поступление межбюджетных трансфертов из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областного бюджета планируется в сумме </w:t>
      </w:r>
      <w:r>
        <w:rPr>
          <w:b/>
          <w:sz w:val="28"/>
          <w:szCs w:val="28"/>
        </w:rPr>
        <w:t>1 140,2</w:t>
      </w:r>
      <w:r>
        <w:rPr>
          <w:sz w:val="28"/>
          <w:szCs w:val="28"/>
        </w:rPr>
        <w:t xml:space="preserve"> млн. рублей:</w:t>
      </w:r>
    </w:p>
    <w:p>
      <w:pPr>
        <w:pStyle w:val="Normal"/>
        <w:shd w:val="clear" w:color="auto" w:fill="FFFFFF"/>
        <w:tabs>
          <w:tab w:val="clear" w:pos="708"/>
          <w:tab w:val="left" w:pos="540" w:leader="none"/>
        </w:tabs>
        <w:spacing w:lineRule="auto" w:line="276"/>
        <w:ind w:lef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Дотаций – 210,6 млн. рублей; </w:t>
      </w:r>
    </w:p>
    <w:p>
      <w:pPr>
        <w:pStyle w:val="Normal"/>
        <w:shd w:val="clear" w:color="auto" w:fill="FFFFFF"/>
        <w:spacing w:lineRule="auto" w:line="276"/>
        <w:ind w:lef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субвенций на выполнение переданных госполномочий -  596,5 млн. рублей; </w:t>
      </w:r>
    </w:p>
    <w:p>
      <w:pPr>
        <w:pStyle w:val="Normal"/>
        <w:shd w:val="clear" w:color="auto" w:fill="FFFFFF"/>
        <w:spacing w:lineRule="auto" w:line="276"/>
        <w:ind w:lef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иные межбюджетные трансферты 19,8 млн.рублей;</w:t>
      </w:r>
    </w:p>
    <w:p>
      <w:pPr>
        <w:pStyle w:val="Normal"/>
        <w:shd w:val="clear" w:color="auto" w:fill="FFFFFF"/>
        <w:spacing w:lineRule="auto" w:line="276"/>
        <w:ind w:lef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2020 и 2021 годах проведена работа по вхождению в областные государственные программы, в результате которой привлечены средства в районной бюджет в виде субсидий в объеме 313,2 млн. рублей. </w:t>
      </w:r>
    </w:p>
    <w:p>
      <w:pPr>
        <w:pStyle w:val="Normal"/>
        <w:shd w:val="clear" w:color="auto" w:fill="FFFFFF"/>
        <w:spacing w:lineRule="auto" w:line="276"/>
        <w:ind w:left="79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ind w:left="79" w:firstLine="709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3816985" cy="2862580"/>
            <wp:effectExtent l="0" t="0" r="0" b="0"/>
            <wp:docPr id="7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FFFFF"/>
        <w:spacing w:lineRule="auto" w:line="276"/>
        <w:ind w:left="79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ind w:lef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Район участвует в 13 государственных программах, а также будут привлечены средства из непрограммных направлений деятельности Челябинской области. Всего в первоначальном бюджете района на 2022 год из областного бюджета планируется направить 37 субсидий. Процент софинансирования районного бюджета составляет 3,6%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59,4% от общего объема доходов бюджета будут направлены на исполнение собственных полномочий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РАСХОДЫ</w:t>
      </w:r>
    </w:p>
    <w:p>
      <w:pPr>
        <w:pStyle w:val="Normal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3816985" cy="2862580"/>
            <wp:effectExtent l="0" t="0" r="0" b="0"/>
            <wp:docPr id="8" name="Рисунок 2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3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7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расходов бюджета района на 2022 год запланирован с приростом к прошлому году 4,9% и  составит </w:t>
      </w:r>
      <w:r>
        <w:rPr>
          <w:b/>
          <w:sz w:val="28"/>
          <w:szCs w:val="28"/>
        </w:rPr>
        <w:t>1 468,97 млн.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рублей.</w:t>
      </w:r>
      <w:r>
        <w:rPr>
          <w:sz w:val="28"/>
          <w:szCs w:val="28"/>
        </w:rPr>
        <w:t xml:space="preserve"> 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бюджетных ассигнований осуществлялось не только на  первоочередные расходы, -  это заработная плата персонала,  расходы на коммунальные услуг и ТЭР, подвоз учащихся, уплата налогов, хозяйственные расходы и т.д., но и запланированы расходы на проведение ремонтов в муниципальных учреждениях, приобретение оборудования, проведение мероприятий в рамках утвержденных программ.</w:t>
      </w:r>
    </w:p>
    <w:p>
      <w:pPr>
        <w:pStyle w:val="Normal"/>
        <w:spacing w:lineRule="auto" w:line="27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приоритеты развития расходов бюджета определены Указами Президента Российской Федерации о национальных целях развития, а также реализацию приоритетных задач, поставленных в муниципальных программах.  </w:t>
      </w:r>
    </w:p>
    <w:p>
      <w:pPr>
        <w:pStyle w:val="Normal"/>
        <w:spacing w:lineRule="auto" w:line="276"/>
        <w:ind w:firstLine="708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3818255" cy="2863850"/>
            <wp:effectExtent l="0" t="0" r="0" b="0"/>
            <wp:docPr id="9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255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Более 97,7% всех расходов бюджета будет осуществляться в рамках национальных проектов и муниципальных программ. </w:t>
      </w:r>
    </w:p>
    <w:p>
      <w:pPr>
        <w:pStyle w:val="Normal"/>
        <w:spacing w:lineRule="auto" w:line="27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Каслинского района будут реализовываться 22 муниципальные программы. Объем собственных источников направляемых на реализацию программ составляет 56,4 млн. рублей. Из них 9,8 млн рублей это доля софинансирования районного бюджета к субсидиям выделяемым из областного бюджета. </w:t>
      </w:r>
    </w:p>
    <w:p>
      <w:pPr>
        <w:pStyle w:val="Normal"/>
        <w:spacing w:lineRule="auto" w:line="276"/>
        <w:ind w:firstLine="708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8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3816985" cy="2862580"/>
            <wp:effectExtent l="0" t="0" r="0" b="0"/>
            <wp:docPr id="10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Основной объем средств, а именно 75,2% бюджета в 2022 года – это социальные расходы.</w:t>
      </w:r>
    </w:p>
    <w:p>
      <w:pPr>
        <w:pStyle w:val="Normal"/>
        <w:spacing w:lineRule="auto" w:line="27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1.Основным и самым финансовоёмким направлением расходов остаются расходы на образование, культуру, физическую культуру и спорт.</w:t>
      </w:r>
    </w:p>
    <w:p>
      <w:pPr>
        <w:pStyle w:val="Normal"/>
        <w:spacing w:lineRule="auto" w:line="36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эти цели будет направлено  более </w:t>
      </w:r>
      <w:r>
        <w:rPr>
          <w:b/>
          <w:sz w:val="28"/>
          <w:szCs w:val="28"/>
        </w:rPr>
        <w:t>801,89 млн. рублей</w:t>
      </w:r>
      <w:r>
        <w:rPr>
          <w:sz w:val="28"/>
          <w:szCs w:val="28"/>
        </w:rPr>
        <w:t xml:space="preserve">  порядка </w:t>
      </w:r>
      <w:r>
        <w:rPr>
          <w:b/>
          <w:sz w:val="28"/>
          <w:szCs w:val="28"/>
        </w:rPr>
        <w:t>54,6%</w:t>
      </w:r>
      <w:r>
        <w:rPr>
          <w:sz w:val="28"/>
          <w:szCs w:val="28"/>
        </w:rPr>
        <w:t xml:space="preserve"> от объема бюджета.</w:t>
      </w:r>
    </w:p>
    <w:p>
      <w:pPr>
        <w:pStyle w:val="Normal"/>
        <w:spacing w:lineRule="auto" w:line="27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Данное направление будет реализовано через 6 муниципальных программ, это </w:t>
      </w:r>
    </w:p>
    <w:p>
      <w:pPr>
        <w:pStyle w:val="Normal"/>
        <w:spacing w:lineRule="auto" w:line="276"/>
        <w:ind w:firstLine="708"/>
        <w:jc w:val="both"/>
        <w:rPr>
          <w:sz w:val="22"/>
          <w:szCs w:val="28"/>
        </w:rPr>
      </w:pPr>
      <w:r>
        <w:rPr>
          <w:sz w:val="22"/>
          <w:szCs w:val="28"/>
        </w:rPr>
        <w:t>«Развитие дополнительного художественного образования» в Каслинском муниципальном районе,</w:t>
      </w:r>
    </w:p>
    <w:p>
      <w:pPr>
        <w:pStyle w:val="Normal"/>
        <w:spacing w:lineRule="auto" w:line="276"/>
        <w:ind w:firstLine="708"/>
        <w:jc w:val="both"/>
        <w:rPr>
          <w:sz w:val="22"/>
          <w:szCs w:val="28"/>
        </w:rPr>
      </w:pPr>
      <w:r>
        <w:rPr>
          <w:sz w:val="22"/>
          <w:szCs w:val="28"/>
        </w:rPr>
        <w:t>«Развитие культуры Каслинского муниципального района»</w:t>
      </w:r>
    </w:p>
    <w:p>
      <w:pPr>
        <w:pStyle w:val="Normal"/>
        <w:spacing w:lineRule="auto" w:line="276"/>
        <w:ind w:firstLine="708"/>
        <w:jc w:val="both"/>
        <w:rPr>
          <w:sz w:val="22"/>
          <w:szCs w:val="28"/>
        </w:rPr>
      </w:pPr>
      <w:r>
        <w:rPr>
          <w:sz w:val="22"/>
          <w:szCs w:val="28"/>
        </w:rPr>
        <w:t>«Развитие физической культуры и спорта на территории Каслинского муниципального района»</w:t>
      </w:r>
    </w:p>
    <w:p>
      <w:pPr>
        <w:pStyle w:val="Normal"/>
        <w:spacing w:lineRule="auto" w:line="276"/>
        <w:ind w:firstLine="708"/>
        <w:jc w:val="both"/>
        <w:rPr>
          <w:sz w:val="22"/>
          <w:szCs w:val="28"/>
        </w:rPr>
      </w:pPr>
      <w:r>
        <w:rPr>
          <w:sz w:val="22"/>
          <w:szCs w:val="28"/>
        </w:rPr>
        <w:t>«Развитие образования в Каслинском муниципальном районе»</w:t>
      </w:r>
    </w:p>
    <w:p>
      <w:pPr>
        <w:pStyle w:val="Normal"/>
        <w:spacing w:lineRule="auto" w:line="276"/>
        <w:ind w:firstLine="708"/>
        <w:jc w:val="both"/>
        <w:rPr>
          <w:sz w:val="22"/>
          <w:szCs w:val="28"/>
        </w:rPr>
      </w:pPr>
      <w:r>
        <w:rPr>
          <w:sz w:val="22"/>
          <w:szCs w:val="28"/>
        </w:rPr>
        <w:t>"Реализация молодежной политики в Каслинском муниципальном районе"</w:t>
      </w:r>
    </w:p>
    <w:p>
      <w:pPr>
        <w:pStyle w:val="Normal"/>
        <w:spacing w:lineRule="auto" w:line="276"/>
        <w:ind w:firstLine="708"/>
        <w:jc w:val="both"/>
        <w:rPr>
          <w:sz w:val="22"/>
          <w:szCs w:val="28"/>
        </w:rPr>
      </w:pPr>
      <w:r>
        <w:rPr>
          <w:sz w:val="22"/>
          <w:szCs w:val="28"/>
        </w:rPr>
        <w:t>«Профилактика безнадзорности и правонарушений несовершеннолетних в Каслинском муниципальном районе»</w:t>
      </w:r>
    </w:p>
    <w:p>
      <w:pPr>
        <w:pStyle w:val="Normal"/>
        <w:spacing w:lineRule="auto" w:line="276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>Основная доля расходов в данном направлении приходится на обеспечение переданных государственных полномочий в сфере образования в объеме 490,1 млн.рублей.</w:t>
      </w:r>
    </w:p>
    <w:p>
      <w:pPr>
        <w:pStyle w:val="Normal"/>
        <w:suppressAutoHyphens w:val="true"/>
        <w:spacing w:lineRule="auto" w:line="276" w:before="0" w:after="120"/>
        <w:ind w:firstLine="703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</w:r>
    </w:p>
    <w:p>
      <w:pPr>
        <w:pStyle w:val="Normal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3816985" cy="2862580"/>
            <wp:effectExtent l="0" t="0" r="0" b="0"/>
            <wp:docPr id="11" name="Рисунок 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27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ind w:firstLine="709"/>
        <w:jc w:val="both"/>
        <w:rPr>
          <w:b/>
          <w:b/>
          <w:sz w:val="28"/>
          <w:szCs w:val="28"/>
        </w:rPr>
      </w:pPr>
      <w:r>
        <w:rPr>
          <w:sz w:val="28"/>
          <w:szCs w:val="28"/>
        </w:rPr>
        <w:t xml:space="preserve">2. Расходы по разделу «Социальная политика» составят </w:t>
      </w:r>
      <w:r>
        <w:rPr>
          <w:b/>
          <w:sz w:val="28"/>
          <w:szCs w:val="28"/>
        </w:rPr>
        <w:t>303,2 млн.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рублей.</w:t>
      </w:r>
      <w:r>
        <w:rPr>
          <w:sz w:val="28"/>
          <w:szCs w:val="28"/>
        </w:rPr>
        <w:t xml:space="preserve"> Основная доля расходов будет направлена на выполнение переданных государственных полномочий. Расходы на выполнение районных полномочий будут направлены на:</w:t>
      </w:r>
    </w:p>
    <w:p>
      <w:pPr>
        <w:pStyle w:val="Normal"/>
        <w:spacing w:lineRule="auto" w:line="27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поддержку Почетных граждан Каслинского муниципального района;</w:t>
      </w:r>
    </w:p>
    <w:p>
      <w:pPr>
        <w:pStyle w:val="Style19"/>
        <w:tabs>
          <w:tab w:val="clear" w:pos="708"/>
          <w:tab w:val="left" w:pos="709" w:leader="none"/>
          <w:tab w:val="left" w:pos="1134" w:leader="none"/>
        </w:tabs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ab/>
        <w:t>-субсидии социально-ориентированным некоммерческим организациям, заключившим соглашение о предоставлении субсидии  с Каслинским муниципальным районом;</w:t>
      </w:r>
    </w:p>
    <w:p>
      <w:pPr>
        <w:pStyle w:val="Normal"/>
        <w:spacing w:lineRule="auto" w:line="27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оказание молодым семьям поддержки в приобретении жилья;</w:t>
      </w:r>
    </w:p>
    <w:p>
      <w:pPr>
        <w:pStyle w:val="Normal"/>
        <w:spacing w:lineRule="auto" w:line="27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доплаты к пенсиям муниципальных служащих;</w:t>
      </w:r>
    </w:p>
    <w:p>
      <w:pPr>
        <w:pStyle w:val="Normal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3816985" cy="2862580"/>
            <wp:effectExtent l="0" t="0" r="0" b="0"/>
            <wp:docPr id="12" name="Рисунок 2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28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Расходы в развитие экономики и жилищного хозяйства предусмотрены в сумме 155,3 млн. рублей.</w:t>
      </w:r>
    </w:p>
    <w:p>
      <w:pPr>
        <w:pStyle w:val="Normal"/>
        <w:spacing w:lineRule="auto" w:line="27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Дорожный фонд предусмотрен в бюджете района в объеме 67,0 млн. рублей. Планируются выполнение работ по капитальному ремонту и содержанию дорог на территории Каслинского муниципального района. Содержание дорог в сельских поселениях будет осуществляться районом.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Расходы по межпоселенческим перевозкам запланированы в сумме 6,2 млн. рублей.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реализацию вопросов в области жилищно-коммунального хозяйства планируется направить более 80,9 млн.рублей из них</w:t>
      </w:r>
      <w:r>
        <w:rPr/>
        <w:t xml:space="preserve"> </w:t>
      </w:r>
      <w:r>
        <w:rPr>
          <w:sz w:val="28"/>
          <w:szCs w:val="28"/>
        </w:rPr>
        <w:t xml:space="preserve">за счет средств местного бюджета будут направлены на финансирование объектов водоснабжения, очистных сооружений, актуализацию схем теплоснабжения и водоснабжения, а так же на софинансирование к субсидиями из областного бюджета. Общий объем средств местного бюджета составит 15,1 млн.рублей. 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в мероприятиях  МП «Обеспечение доступным и комфортным жильем граждан Российской Федерации" в Каслинском муниципальном районе» предусмотрены расходы на развитие жилищно-коммунального хозяйства в объеме 66,6 млн.руб., за счет привлечения средств из областного бюджета будут решены вопросы :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переселению граждан из аварийного жилищного фонда за счет 2 256,3 тыс.руб., 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модернизации, реконструкции, капитальному ремонту и строительству котельных, систем водоснабжения, водоотведения, систем электроснабжения, теплоснабжения – 28 000,0 тыс.руб.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строительству газопроводов и газовых сетей – 31 442,3 тыс.рублей.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 мероприятиях МП «Формирования современной городской среды» запланированы работы в объеме 11,6 млн.рублей по благоустройство общественной территории МУ «ДК им. Захарова»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3816985" cy="2862580"/>
            <wp:effectExtent l="0" t="0" r="0" b="0"/>
            <wp:docPr id="13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реализацию национальных проектов в бюджете на 2022 год предусмотрено более 23,44 млн.руб.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первоначальном бюджете запланированы расходы по 6 региональным проектам Челябинской области, которые реализуют национальные проекты, Жилье и городская среда, Образование, Культура и Демография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3816985" cy="2862580"/>
            <wp:effectExtent l="0" t="0" r="0" b="0"/>
            <wp:docPr id="14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межбюджетных трансфертов в бюджеты поселений предусмотрен в сумме более 73,2 млн.руб.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финансовая помощь бюджетам поселений на решение вопросов местного значений в сумме </w:t>
      </w:r>
      <w:r>
        <w:rPr>
          <w:b/>
          <w:sz w:val="28"/>
          <w:szCs w:val="28"/>
        </w:rPr>
        <w:t>71,9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млн. рублей</w:t>
      </w:r>
      <w:r>
        <w:rPr>
          <w:sz w:val="28"/>
          <w:szCs w:val="28"/>
        </w:rPr>
        <w:t xml:space="preserve">, в т.ч. в виде дотации </w:t>
      </w:r>
      <w:r>
        <w:rPr>
          <w:b/>
          <w:sz w:val="28"/>
          <w:szCs w:val="28"/>
        </w:rPr>
        <w:t>38,7 млн. рублей</w:t>
      </w:r>
      <w:r>
        <w:rPr>
          <w:sz w:val="28"/>
          <w:szCs w:val="28"/>
        </w:rPr>
        <w:t xml:space="preserve">, Иные МБТ на частичную компенсацию дополнительных расходов на повышение оплаты труда работников бюджетной сферы и иные  цели в сумме </w:t>
      </w:r>
      <w:r>
        <w:rPr>
          <w:b/>
          <w:sz w:val="28"/>
          <w:szCs w:val="28"/>
        </w:rPr>
        <w:t>33,2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млн. рублей</w:t>
      </w:r>
      <w:r>
        <w:rPr>
          <w:sz w:val="28"/>
          <w:szCs w:val="28"/>
        </w:rPr>
        <w:t xml:space="preserve">.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переданную часть государственных полномочий поселениям района предусмотрено </w:t>
      </w:r>
      <w:r>
        <w:rPr>
          <w:b/>
          <w:sz w:val="28"/>
          <w:szCs w:val="28"/>
        </w:rPr>
        <w:t>1,3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млн.рублей</w:t>
      </w:r>
      <w:r>
        <w:rPr>
          <w:sz w:val="28"/>
          <w:szCs w:val="28"/>
        </w:rPr>
        <w:t>, в том числе на осуществление первичного воинского учета и создание административных комиссий.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3816985" cy="2862580"/>
            <wp:effectExtent l="0" t="0" r="0" b="0"/>
            <wp:docPr id="15" name="Рисунок 3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sz w:val="28"/>
          <w:szCs w:val="28"/>
        </w:rPr>
      </w:pPr>
      <w:r>
        <w:rPr>
          <w:rFonts w:eastAsia="Calibri" w:eastAsiaTheme="minorHAnsi"/>
          <w:sz w:val="28"/>
          <w:szCs w:val="28"/>
          <w:lang w:eastAsia="en-US"/>
        </w:rPr>
        <w:tab/>
      </w:r>
      <w:r>
        <w:rPr>
          <w:sz w:val="28"/>
          <w:szCs w:val="28"/>
        </w:rPr>
        <w:t xml:space="preserve">Муниципального долга и выданных муниципальных гарантий, переходящих на 2023 год у района не предусмотрено.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Изначально бюджет планируется в бездефицитном варианте.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 бюджета Каслинского муниципального района на 2022 и плановый период 2023 и 2024 годов, сформирован сохраняя преемственность в отношении определенных ранее приоритетов и скорректированы с учетом текущей экономической ситуации и необходимостью реализации первоочередных задач. Практически все расходы осуществляются в рамках муниципальных программ, т.е. увязаны с четко определенной задачей  и конечным результатом.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Мой доклад окончен.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Спасибо, уважаемые участники публичных слушаний.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Normal"/>
        <w:jc w:val="both"/>
        <w:rPr/>
      </w:pPr>
      <w:r>
        <w:rPr>
          <w:sz w:val="28"/>
          <w:szCs w:val="28"/>
        </w:rPr>
        <w:t>Каслинского муниципального района                                            Н.Г. Злоказова</w:t>
      </w:r>
    </w:p>
    <w:sectPr>
      <w:headerReference w:type="default" r:id="rId17"/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49026369"/>
    </w:sdtPr>
    <w:sdtContent>
      <w:p>
        <w:pPr>
          <w:pStyle w:val="Style23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</w:p>
    </w:sdtContent>
  </w:sdt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c39e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4c1dc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4c1dc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01525d"/>
    <w:rPr>
      <w:rFonts w:ascii="Tahoma" w:hAnsi="Tahoma" w:eastAsia="Times New Roman" w:cs="Tahoma"/>
      <w:sz w:val="16"/>
      <w:szCs w:val="16"/>
      <w:lang w:eastAsia="ru-RU"/>
    </w:rPr>
  </w:style>
  <w:style w:type="character" w:styleId="Style17" w:customStyle="1">
    <w:name w:val="Основной текст Знак"/>
    <w:basedOn w:val="DefaultParagraphFont"/>
    <w:link w:val="a9"/>
    <w:uiPriority w:val="99"/>
    <w:qFormat/>
    <w:rsid w:val="00ed591b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FontStyle14" w:customStyle="1">
    <w:name w:val="Font Style14"/>
    <w:basedOn w:val="DefaultParagraphFont"/>
    <w:uiPriority w:val="99"/>
    <w:qFormat/>
    <w:rsid w:val="00b51d0a"/>
    <w:rPr>
      <w:rFonts w:ascii="Times New Roman" w:hAnsi="Times New Roman" w:cs="Times New Roman"/>
      <w:sz w:val="26"/>
      <w:szCs w:val="26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9">
    <w:name w:val="Body Text"/>
    <w:basedOn w:val="Normal"/>
    <w:link w:val="aa"/>
    <w:uiPriority w:val="99"/>
    <w:unhideWhenUsed/>
    <w:rsid w:val="00ed591b"/>
    <w:pPr>
      <w:spacing w:before="0" w:after="120"/>
    </w:pPr>
    <w:rPr/>
  </w:style>
  <w:style w:type="paragraph" w:styleId="Style20">
    <w:name w:val="List"/>
    <w:basedOn w:val="Style19"/>
    <w:pPr/>
    <w:rPr>
      <w:rFonts w:cs="Free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FreeSans"/>
    </w:rPr>
  </w:style>
  <w:style w:type="paragraph" w:styleId="Style23">
    <w:name w:val="Header"/>
    <w:basedOn w:val="Normal"/>
    <w:link w:val="a4"/>
    <w:uiPriority w:val="99"/>
    <w:unhideWhenUsed/>
    <w:rsid w:val="004c1dc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6"/>
    <w:uiPriority w:val="99"/>
    <w:unhideWhenUsed/>
    <w:rsid w:val="004c1dc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01525d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b5f5d"/>
    <w:pPr>
      <w:spacing w:before="0" w:after="0"/>
      <w:ind w:left="720" w:hanging="0"/>
      <w:contextualSpacing/>
    </w:pPr>
    <w:rPr/>
  </w:style>
  <w:style w:type="paragraph" w:styleId="Style31" w:customStyle="1">
    <w:name w:val="Style3"/>
    <w:basedOn w:val="Normal"/>
    <w:uiPriority w:val="99"/>
    <w:qFormat/>
    <w:rsid w:val="00a63c0d"/>
    <w:pPr>
      <w:widowControl w:val="false"/>
      <w:spacing w:lineRule="exact" w:line="485"/>
      <w:ind w:firstLine="706"/>
      <w:jc w:val="both"/>
    </w:pPr>
    <w:rPr>
      <w:rFonts w:eastAsia="" w:eastAsiaTheme="minorEastAsi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header" Target="header1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086C3-13FA-4D70-9F76-C62314F06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Application>LibreOffice/6.2.1.2$Linux_X86_64 LibreOffice_project/7bcb35dc3024a62dea0caee87020152d1ee96e71</Application>
  <Pages>6</Pages>
  <Words>1305</Words>
  <Characters>8705</Characters>
  <CharactersWithSpaces>10030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2021-12-06T10:39:00Z</dcterms:created>
  <dc:creator>User</dc:creator>
  <dc:description/>
  <dc:language>ru-RU</dc:language>
  <cp:lastModifiedBy>Наталья</cp:lastModifiedBy>
  <cp:lastPrinted>2021-12-10T10:47:00Z</cp:lastPrinted>
  <dcterms:modified xsi:type="dcterms:W3CDTF">2021-12-16T10:42:00Z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