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AA" w:rsidRDefault="00362F2B">
      <w:pPr>
        <w:tabs>
          <w:tab w:val="left" w:pos="6527"/>
        </w:tabs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722315" cy="548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1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9"/>
          <w:sz w:val="20"/>
          <w:lang w:eastAsia="ru-RU"/>
        </w:rPr>
        <mc:AlternateContent>
          <mc:Choice Requires="wpg">
            <w:drawing>
              <wp:inline distT="0" distB="0" distL="0" distR="0">
                <wp:extent cx="1678940" cy="318770"/>
                <wp:effectExtent l="0" t="9525" r="6985" b="5080"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318770"/>
                          <a:chOff x="0" y="0"/>
                          <a:chExt cx="2644" cy="502"/>
                        </a:xfrm>
                      </wpg:grpSpPr>
                      <wps:wsp>
                        <wps:cNvPr id="4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4" cy="502"/>
                          </a:xfrm>
                          <a:custGeom>
                            <a:avLst/>
                            <a:gdLst>
                              <a:gd name="T0" fmla="*/ 2392 w 2644"/>
                              <a:gd name="T1" fmla="*/ 0 h 502"/>
                              <a:gd name="T2" fmla="*/ 251 w 2644"/>
                              <a:gd name="T3" fmla="*/ 0 h 502"/>
                              <a:gd name="T4" fmla="*/ 171 w 2644"/>
                              <a:gd name="T5" fmla="*/ 13 h 502"/>
                              <a:gd name="T6" fmla="*/ 103 w 2644"/>
                              <a:gd name="T7" fmla="*/ 48 h 502"/>
                              <a:gd name="T8" fmla="*/ 48 w 2644"/>
                              <a:gd name="T9" fmla="*/ 103 h 502"/>
                              <a:gd name="T10" fmla="*/ 13 w 2644"/>
                              <a:gd name="T11" fmla="*/ 172 h 502"/>
                              <a:gd name="T12" fmla="*/ 0 w 2644"/>
                              <a:gd name="T13" fmla="*/ 251 h 502"/>
                              <a:gd name="T14" fmla="*/ 13 w 2644"/>
                              <a:gd name="T15" fmla="*/ 330 h 502"/>
                              <a:gd name="T16" fmla="*/ 48 w 2644"/>
                              <a:gd name="T17" fmla="*/ 399 h 502"/>
                              <a:gd name="T18" fmla="*/ 103 w 2644"/>
                              <a:gd name="T19" fmla="*/ 453 h 502"/>
                              <a:gd name="T20" fmla="*/ 171 w 2644"/>
                              <a:gd name="T21" fmla="*/ 489 h 502"/>
                              <a:gd name="T22" fmla="*/ 251 w 2644"/>
                              <a:gd name="T23" fmla="*/ 502 h 502"/>
                              <a:gd name="T24" fmla="*/ 2392 w 2644"/>
                              <a:gd name="T25" fmla="*/ 502 h 502"/>
                              <a:gd name="T26" fmla="*/ 2472 w 2644"/>
                              <a:gd name="T27" fmla="*/ 489 h 502"/>
                              <a:gd name="T28" fmla="*/ 2541 w 2644"/>
                              <a:gd name="T29" fmla="*/ 453 h 502"/>
                              <a:gd name="T30" fmla="*/ 2595 w 2644"/>
                              <a:gd name="T31" fmla="*/ 399 h 502"/>
                              <a:gd name="T32" fmla="*/ 2631 w 2644"/>
                              <a:gd name="T33" fmla="*/ 330 h 502"/>
                              <a:gd name="T34" fmla="*/ 2643 w 2644"/>
                              <a:gd name="T35" fmla="*/ 251 h 502"/>
                              <a:gd name="T36" fmla="*/ 2631 w 2644"/>
                              <a:gd name="T37" fmla="*/ 172 h 502"/>
                              <a:gd name="T38" fmla="*/ 2595 w 2644"/>
                              <a:gd name="T39" fmla="*/ 103 h 502"/>
                              <a:gd name="T40" fmla="*/ 2541 w 2644"/>
                              <a:gd name="T41" fmla="*/ 48 h 502"/>
                              <a:gd name="T42" fmla="*/ 2472 w 2644"/>
                              <a:gd name="T43" fmla="*/ 13 h 502"/>
                              <a:gd name="T44" fmla="*/ 2392 w 2644"/>
                              <a:gd name="T45" fmla="*/ 0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644" h="502">
                                <a:moveTo>
                                  <a:pt x="2392" y="0"/>
                                </a:moveTo>
                                <a:lnTo>
                                  <a:pt x="251" y="0"/>
                                </a:lnTo>
                                <a:lnTo>
                                  <a:pt x="171" y="13"/>
                                </a:lnTo>
                                <a:lnTo>
                                  <a:pt x="103" y="48"/>
                                </a:lnTo>
                                <a:lnTo>
                                  <a:pt x="48" y="103"/>
                                </a:lnTo>
                                <a:lnTo>
                                  <a:pt x="13" y="172"/>
                                </a:lnTo>
                                <a:lnTo>
                                  <a:pt x="0" y="251"/>
                                </a:lnTo>
                                <a:lnTo>
                                  <a:pt x="13" y="330"/>
                                </a:lnTo>
                                <a:lnTo>
                                  <a:pt x="48" y="399"/>
                                </a:lnTo>
                                <a:lnTo>
                                  <a:pt x="103" y="453"/>
                                </a:lnTo>
                                <a:lnTo>
                                  <a:pt x="171" y="489"/>
                                </a:lnTo>
                                <a:lnTo>
                                  <a:pt x="251" y="502"/>
                                </a:lnTo>
                                <a:lnTo>
                                  <a:pt x="2392" y="502"/>
                                </a:lnTo>
                                <a:lnTo>
                                  <a:pt x="2472" y="489"/>
                                </a:lnTo>
                                <a:lnTo>
                                  <a:pt x="2541" y="453"/>
                                </a:lnTo>
                                <a:lnTo>
                                  <a:pt x="2595" y="399"/>
                                </a:lnTo>
                                <a:lnTo>
                                  <a:pt x="2631" y="330"/>
                                </a:lnTo>
                                <a:lnTo>
                                  <a:pt x="2643" y="251"/>
                                </a:lnTo>
                                <a:lnTo>
                                  <a:pt x="2631" y="172"/>
                                </a:lnTo>
                                <a:lnTo>
                                  <a:pt x="2595" y="103"/>
                                </a:lnTo>
                                <a:lnTo>
                                  <a:pt x="2541" y="48"/>
                                </a:lnTo>
                                <a:lnTo>
                                  <a:pt x="2472" y="13"/>
                                </a:lnTo>
                                <a:lnTo>
                                  <a:pt x="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7DAA" w:rsidRDefault="00362F2B">
                              <w:pPr>
                                <w:spacing w:before="127"/>
                                <w:ind w:left="249"/>
                                <w:rPr>
                                  <w:sz w:val="20"/>
                                </w:rPr>
                              </w:pPr>
                              <w:hyperlink r:id="rId6">
                                <w:r>
                                  <w:rPr>
                                    <w:color w:val="FFFFFF"/>
                                    <w:w w:val="105"/>
                                    <w:sz w:val="20"/>
                                  </w:rPr>
                                  <w:t>WWW.NALOG.GOV.RU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132.2pt;height:25.1pt;mso-position-horizontal-relative:char;mso-position-vertical-relative:line" coordsize="2644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">
                <v:shape id="Freeform 14" o:spid="_x0000_s1027" style="position:absolute;width:2644;height:502;visibility:visible;mso-wrap-style:square;v-text-anchor:top" coordsize="2644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F1MQA&#10;AADaAAAADwAAAGRycy9kb3ducmV2LnhtbESPT2sCMRTE74V+h/AKXopmW0VlNUpbEaSn+ufi7bF5&#10;7q7dvCxJdOO3N0Khx2FmfsPMl9E04krO15YVvA0yEMSF1TWXCg77dX8KwgdkjY1lUnAjD8vF89Mc&#10;c2073tJ1F0qRIOxzVFCF0OZS+qIig35gW+LknawzGJJ0pdQOuwQ3jXzPsrE0WHNaqLClr4qK393F&#10;KGjPchg/V+PLanT82b7Gm5t+dxOlei/xYwYiUAz/4b/2RisYweNKug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8BdTEAAAA2gAAAA8AAAAAAAAAAAAAAAAAmAIAAGRycy9k&#10;b3ducmV2LnhtbFBLBQYAAAAABAAEAPUAAACJAwAAAAA=&#10;" path="m2392,l251,,171,13,103,48,48,103,13,172,,251r13,79l48,399r55,54l171,489r80,13l2392,502r80,-13l2541,453r54,-54l2631,330r12,-79l2631,172r-36,-69l2541,48,2472,13,2392,xe" fillcolor="#00afef" stroked="f">
                  <v:path arrowok="t" o:connecttype="custom" o:connectlocs="2392,0;251,0;171,13;103,48;48,103;13,172;0,251;13,330;48,399;103,453;171,489;251,502;2392,502;2472,489;2541,453;2595,399;2631,330;2643,251;2631,172;2595,103;2541,48;2472,13;2392,0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width:2644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FD7DAA" w:rsidRDefault="00362F2B">
                        <w:pPr>
                          <w:spacing w:before="127"/>
                          <w:ind w:left="249"/>
                          <w:rPr>
                            <w:sz w:val="20"/>
                          </w:rPr>
                        </w:pPr>
                        <w:hyperlink r:id="rId7">
                          <w:r>
                            <w:rPr>
                              <w:color w:val="FFFFFF"/>
                              <w:w w:val="105"/>
                              <w:sz w:val="20"/>
                            </w:rPr>
                            <w:t>WWW.NALOG.GOV.RU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D7DAA" w:rsidRDefault="00FD7DAA">
      <w:pPr>
        <w:pStyle w:val="a3"/>
        <w:rPr>
          <w:rFonts w:ascii="Times New Roman"/>
          <w:sz w:val="20"/>
        </w:rPr>
      </w:pPr>
    </w:p>
    <w:p w:rsidR="00FD7DAA" w:rsidRDefault="00FD7DAA">
      <w:pPr>
        <w:pStyle w:val="a3"/>
        <w:rPr>
          <w:rFonts w:ascii="Times New Roman"/>
          <w:sz w:val="20"/>
        </w:rPr>
      </w:pPr>
    </w:p>
    <w:p w:rsidR="00FD7DAA" w:rsidRDefault="00FD7DAA">
      <w:pPr>
        <w:pStyle w:val="a3"/>
        <w:spacing w:before="10"/>
        <w:rPr>
          <w:rFonts w:ascii="Times New Roman"/>
          <w:sz w:val="21"/>
        </w:rPr>
      </w:pPr>
    </w:p>
    <w:p w:rsidR="00FD7DAA" w:rsidRPr="00362F2B" w:rsidRDefault="00362F2B" w:rsidP="00362F2B">
      <w:pPr>
        <w:pStyle w:val="a3"/>
        <w:jc w:val="center"/>
        <w:rPr>
          <w:b/>
          <w:color w:val="0070C0"/>
          <w:sz w:val="20"/>
        </w:rPr>
      </w:pPr>
      <w:r w:rsidRPr="00362F2B">
        <w:rPr>
          <w:b/>
          <w:color w:val="0070C0"/>
          <w:sz w:val="20"/>
        </w:rPr>
        <w:t>Декларационная кампания 2024 года</w:t>
      </w:r>
    </w:p>
    <w:p w:rsidR="00FD7DAA" w:rsidRDefault="00FD7DAA">
      <w:pPr>
        <w:pStyle w:val="a3"/>
        <w:rPr>
          <w:sz w:val="20"/>
        </w:rPr>
      </w:pPr>
    </w:p>
    <w:p w:rsidR="00362F2B" w:rsidRPr="00362F2B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bookmarkStart w:id="0" w:name="_GoBack"/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С 01.01.2024 стартовала декларационная кампания, а это означает, что физическим лицам необходимо отчитаться о полученных в 2023 году доходах не позднее 2 мая 2024 года.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 xml:space="preserve">Напоминаем, что представить декларацию </w:t>
      </w:r>
      <w:hyperlink r:id="rId8" w:history="1">
        <w:r w:rsidRPr="009C1283">
          <w:rPr>
            <w:rFonts w:ascii="Golos text" w:eastAsia="Times New Roman" w:hAnsi="Golos text" w:cs="Calibri"/>
            <w:color w:val="0000FF"/>
            <w:sz w:val="20"/>
            <w:szCs w:val="20"/>
            <w:lang w:eastAsia="ru-RU"/>
          </w:rPr>
          <w:t>3-НДФЛ</w:t>
        </w:r>
      </w:hyperlink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 xml:space="preserve"> следует необходимо в следующих случаях: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- при получении в дар недвижимого имущества, транспортных средств, акций, долей, паев от физических лиц, не являющихся близкими родственниками;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- при получении вознаграждения от физических лиц и организаций, не являющихся налоговыми агентами, на основе заключенных договоров и договоров гражданско-правового характера, включая доходы по договорам имущественного найма или договорам аренды любого имущества;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- при получении выигрыша от операторов лотерей, распространителей, организаторов азартных игр, проводимых в букмекерской конторе и тотализаторе, - в сумме до 15000 руб., а также от организаторов азартных игр, не относящихся к букмекерским конторам и тотализаторам;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- при получении дохода от источников, находящихся за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пределами Российской Федерации.</w:t>
      </w:r>
    </w:p>
    <w:p w:rsidR="00362F2B" w:rsidRPr="00362F2B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>Заде</w:t>
      </w: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кларировать полученные в 2023 году доходы должны также индивидуальные предприниматели, нотариусы, занимающиеся частной практикой, адвокаты, учредившие адвокатские кабинеты, и другие лица, занимающиеся частной практикой.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9C1283" w:rsidRDefault="00362F2B" w:rsidP="00362F2B">
      <w:pPr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Начиная с 1 января 2021 года была отменена обязанность по представлению деклараций 3-НДФЛ для следующих случаев: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Calibri" w:hAnsi="Golos text" w:cs="Times New Roman"/>
          <w:color w:val="1E1E1E"/>
          <w:sz w:val="20"/>
          <w:szCs w:val="20"/>
        </w:rPr>
      </w:pPr>
      <w:r w:rsidRPr="00362F2B">
        <w:rPr>
          <w:rFonts w:ascii="Golos text" w:eastAsia="Calibri" w:hAnsi="Golos text" w:cs="Times New Roman"/>
          <w:color w:val="1E1E1E"/>
          <w:sz w:val="20"/>
          <w:szCs w:val="20"/>
        </w:rPr>
        <w:t xml:space="preserve">- </w:t>
      </w:r>
      <w:r w:rsidRPr="009C1283">
        <w:rPr>
          <w:rFonts w:ascii="Golos text" w:eastAsia="Calibri" w:hAnsi="Golos text" w:cs="Times New Roman"/>
          <w:color w:val="1E1E1E"/>
          <w:sz w:val="20"/>
          <w:szCs w:val="20"/>
        </w:rPr>
        <w:t>при получении дохода от продажи жилых домов, квартир, комнат (включая приватизированное жилье), садовых домов и земельных участков, не превышающего в целом 1 млн рублей;</w:t>
      </w:r>
      <w:r w:rsidRPr="00362F2B">
        <w:rPr>
          <w:rFonts w:ascii="Golos text" w:eastAsia="Calibri" w:hAnsi="Golos text" w:cs="Times New Roman"/>
          <w:color w:val="1E1E1E"/>
          <w:sz w:val="20"/>
          <w:szCs w:val="20"/>
        </w:rPr>
        <w:t xml:space="preserve"> </w:t>
      </w:r>
    </w:p>
    <w:p w:rsidR="00362F2B" w:rsidRPr="009C1283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Calibri" w:hAnsi="Golos text" w:cs="Times New Roman"/>
          <w:color w:val="1E1E1E"/>
          <w:sz w:val="20"/>
          <w:szCs w:val="20"/>
        </w:rPr>
      </w:pPr>
      <w:r w:rsidRPr="00362F2B">
        <w:rPr>
          <w:rFonts w:ascii="Golos text" w:eastAsia="Calibri" w:hAnsi="Golos text" w:cs="Times New Roman"/>
          <w:color w:val="1E1E1E"/>
          <w:sz w:val="20"/>
          <w:szCs w:val="20"/>
        </w:rPr>
        <w:t xml:space="preserve">- </w:t>
      </w:r>
      <w:r w:rsidRPr="009C1283">
        <w:rPr>
          <w:rFonts w:ascii="Golos text" w:eastAsia="Calibri" w:hAnsi="Golos text" w:cs="Times New Roman"/>
          <w:color w:val="1E1E1E"/>
          <w:sz w:val="20"/>
          <w:szCs w:val="20"/>
        </w:rPr>
        <w:t>при получении дохода от продажи иного недвижимого имущества (нежилой недвижимости, гаражей, машиномест и т.д.), не превышающего в целом 250 000 рублей;</w:t>
      </w:r>
    </w:p>
    <w:p w:rsidR="00362F2B" w:rsidRPr="009C1283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Calibri" w:hAnsi="Golos text" w:cs="Times New Roman"/>
          <w:color w:val="1E1E1E"/>
          <w:sz w:val="20"/>
          <w:szCs w:val="20"/>
        </w:rPr>
      </w:pPr>
      <w:r w:rsidRPr="00362F2B">
        <w:rPr>
          <w:rFonts w:ascii="Golos text" w:eastAsia="Calibri" w:hAnsi="Golos text" w:cs="Times New Roman"/>
          <w:color w:val="1E1E1E"/>
          <w:sz w:val="20"/>
          <w:szCs w:val="20"/>
        </w:rPr>
        <w:t xml:space="preserve">- </w:t>
      </w:r>
      <w:r w:rsidRPr="009C1283">
        <w:rPr>
          <w:rFonts w:ascii="Golos text" w:eastAsia="Calibri" w:hAnsi="Golos text" w:cs="Times New Roman"/>
          <w:color w:val="1E1E1E"/>
          <w:sz w:val="20"/>
          <w:szCs w:val="20"/>
        </w:rPr>
        <w:t>при получении дохода от продажи иного имущества, например, автомобилей (за исключением ценных бумаг), находившегося в собственности налогоплательщика менее 3 лет, не превышающего в целом 250 000 рублей.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Calibri" w:hAnsi="Golos text" w:cs="Times New Roman"/>
          <w:color w:val="1E1E1E"/>
          <w:sz w:val="20"/>
          <w:szCs w:val="20"/>
        </w:rPr>
      </w:pPr>
      <w:r w:rsidRPr="009C1283">
        <w:rPr>
          <w:rFonts w:ascii="Golos text" w:eastAsia="Calibri" w:hAnsi="Golos text" w:cs="Times New Roman"/>
          <w:color w:val="1E1E1E"/>
          <w:sz w:val="20"/>
          <w:szCs w:val="20"/>
        </w:rPr>
        <w:t>Напоминаем, что не подлежат налогообложению доходы, получаемые физическими лицами от жилых домов, квартир, дач, садовых</w:t>
      </w:r>
      <w:r w:rsidRPr="00362F2B">
        <w:rPr>
          <w:rFonts w:ascii="Golos text" w:eastAsia="Calibri" w:hAnsi="Golos text" w:cs="Times New Roman"/>
          <w:color w:val="1E1E1E"/>
          <w:sz w:val="20"/>
          <w:szCs w:val="20"/>
        </w:rPr>
        <w:t xml:space="preserve"> домиков или земельных участков,</w:t>
      </w:r>
      <w:r w:rsidRPr="009C1283">
        <w:rPr>
          <w:rFonts w:ascii="Golos text" w:eastAsia="Calibri" w:hAnsi="Golos text" w:cs="Times New Roman"/>
          <w:color w:val="1E1E1E"/>
          <w:sz w:val="20"/>
          <w:szCs w:val="20"/>
        </w:rPr>
        <w:t xml:space="preserve"> находившихся в собственности</w:t>
      </w:r>
      <w:r w:rsidRPr="00362F2B">
        <w:rPr>
          <w:rFonts w:ascii="Golos text" w:eastAsia="Calibri" w:hAnsi="Golos text" w:cs="Times New Roman"/>
          <w:color w:val="1E1E1E"/>
          <w:sz w:val="20"/>
          <w:szCs w:val="20"/>
        </w:rPr>
        <w:t>,</w:t>
      </w:r>
      <w:r w:rsidRPr="009C1283">
        <w:rPr>
          <w:rFonts w:ascii="Golos text" w:eastAsia="Calibri" w:hAnsi="Golos text" w:cs="Times New Roman"/>
          <w:color w:val="1E1E1E"/>
          <w:sz w:val="20"/>
          <w:szCs w:val="20"/>
        </w:rPr>
        <w:t xml:space="preserve"> пять лет и более, а так же при продаже иного имущества, находившегося в собственности более трех лет</w:t>
      </w:r>
      <w:r w:rsidRPr="00362F2B">
        <w:rPr>
          <w:rFonts w:ascii="Golos text" w:eastAsia="Calibri" w:hAnsi="Golos text" w:cs="Times New Roman"/>
          <w:color w:val="1E1E1E"/>
          <w:sz w:val="20"/>
          <w:szCs w:val="20"/>
        </w:rPr>
        <w:t xml:space="preserve">. 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 xml:space="preserve">Исчисленный в декларации налог к уплате необходимо уплатить не позднее </w:t>
      </w:r>
      <w:r w:rsidRPr="009C1283">
        <w:rPr>
          <w:rFonts w:ascii="Golos text" w:eastAsia="Times New Roman" w:hAnsi="Golos text" w:cs="Calibri"/>
          <w:b/>
          <w:color w:val="0070C0"/>
          <w:sz w:val="20"/>
          <w:szCs w:val="20"/>
          <w:lang w:eastAsia="ru-RU"/>
        </w:rPr>
        <w:t>15.07.2024.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На граждан, представляю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>щих налоговую декларацию за 2023</w:t>
      </w: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 xml:space="preserve"> год исключительно с целью получения налоговых вычетов по НДФЛ (стандартных, социальных, инвестиционных, имущественных при покупке жилья), установленный срок подачи декларации – 2 мая 2024 года - не распространяется.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Такие декларации можно представить в любое время в течение всего года, без каких-либо налоговых санкций.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Налоговым законодательством предусмотрены следующие способы представления деклараций в налоговый орган, а именно: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- лично или через представителя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>- по почте (с описью вложения)</w:t>
      </w:r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362F2B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 xml:space="preserve">- в электронном виде через Интернет  - сервис «Личный кабинет налогоплательщика для физического лица» на сайте </w:t>
      </w:r>
      <w:hyperlink r:id="rId9" w:history="1">
        <w:r w:rsidRPr="00362F2B">
          <w:rPr>
            <w:rFonts w:ascii="Golos text" w:eastAsia="Times New Roman" w:hAnsi="Golos text" w:cs="Calibri"/>
            <w:color w:val="0000FF"/>
            <w:sz w:val="20"/>
            <w:szCs w:val="20"/>
            <w:u w:val="single"/>
            <w:lang w:val="en-US" w:eastAsia="ru-RU"/>
          </w:rPr>
          <w:t>www</w:t>
        </w:r>
        <w:r w:rsidRPr="00362F2B">
          <w:rPr>
            <w:rFonts w:ascii="Golos text" w:eastAsia="Times New Roman" w:hAnsi="Golos text" w:cs="Calibri"/>
            <w:color w:val="0000FF"/>
            <w:sz w:val="20"/>
            <w:szCs w:val="20"/>
            <w:u w:val="single"/>
            <w:lang w:eastAsia="ru-RU"/>
          </w:rPr>
          <w:t>.</w:t>
        </w:r>
        <w:r w:rsidRPr="00362F2B">
          <w:rPr>
            <w:rFonts w:ascii="Golos text" w:eastAsia="Times New Roman" w:hAnsi="Golos text" w:cs="Calibri"/>
            <w:color w:val="0000FF"/>
            <w:sz w:val="20"/>
            <w:szCs w:val="20"/>
            <w:u w:val="single"/>
            <w:lang w:val="en-US" w:eastAsia="ru-RU"/>
          </w:rPr>
          <w:t>nalog</w:t>
        </w:r>
        <w:r w:rsidRPr="00362F2B">
          <w:rPr>
            <w:rFonts w:ascii="Golos text" w:eastAsia="Times New Roman" w:hAnsi="Golos text" w:cs="Calibri"/>
            <w:color w:val="0000FF"/>
            <w:sz w:val="20"/>
            <w:szCs w:val="20"/>
            <w:u w:val="single"/>
            <w:lang w:eastAsia="ru-RU"/>
          </w:rPr>
          <w:t>.</w:t>
        </w:r>
        <w:r w:rsidRPr="00362F2B">
          <w:rPr>
            <w:rFonts w:ascii="Golos text" w:eastAsia="Times New Roman" w:hAnsi="Golos text" w:cs="Calibri"/>
            <w:color w:val="0000FF"/>
            <w:sz w:val="20"/>
            <w:szCs w:val="20"/>
            <w:u w:val="single"/>
            <w:lang w:val="en-US" w:eastAsia="ru-RU"/>
          </w:rPr>
          <w:t>gov</w:t>
        </w:r>
        <w:r w:rsidRPr="00362F2B">
          <w:rPr>
            <w:rFonts w:ascii="Golos text" w:eastAsia="Times New Roman" w:hAnsi="Golos text" w:cs="Calibri"/>
            <w:color w:val="0000FF"/>
            <w:sz w:val="20"/>
            <w:szCs w:val="20"/>
            <w:u w:val="single"/>
            <w:lang w:eastAsia="ru-RU"/>
          </w:rPr>
          <w:t>.</w:t>
        </w:r>
        <w:r w:rsidRPr="00362F2B">
          <w:rPr>
            <w:rFonts w:ascii="Golos text" w:eastAsia="Times New Roman" w:hAnsi="Golos text" w:cs="Calibri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362F2B">
        <w:rPr>
          <w:rFonts w:ascii="Golos text" w:eastAsia="Times New Roman" w:hAnsi="Golos text" w:cs="Calibri"/>
          <w:sz w:val="20"/>
          <w:szCs w:val="20"/>
          <w:lang w:eastAsia="ru-RU"/>
        </w:rPr>
        <w:t xml:space="preserve"> </w:t>
      </w:r>
    </w:p>
    <w:p w:rsidR="00362F2B" w:rsidRPr="009C1283" w:rsidRDefault="00362F2B" w:rsidP="00362F2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rFonts w:ascii="Golos text" w:eastAsia="Times New Roman" w:hAnsi="Golos text" w:cs="Calibri"/>
          <w:sz w:val="20"/>
          <w:szCs w:val="20"/>
          <w:lang w:eastAsia="ru-RU"/>
        </w:rPr>
      </w:pPr>
      <w:r w:rsidRPr="009C1283">
        <w:rPr>
          <w:rFonts w:ascii="Golos text" w:eastAsia="Times New Roman" w:hAnsi="Golos text" w:cs="Calibri"/>
          <w:sz w:val="20"/>
          <w:szCs w:val="20"/>
          <w:lang w:eastAsia="ru-RU"/>
        </w:rPr>
        <w:t xml:space="preserve">- </w:t>
      </w:r>
      <w:r w:rsidRPr="009C1283">
        <w:rPr>
          <w:rFonts w:ascii="Golos text" w:eastAsia="Times New Roman" w:hAnsi="Golos text" w:cs="Calibri"/>
          <w:sz w:val="20"/>
          <w:szCs w:val="20"/>
          <w:lang w:val="en-US" w:eastAsia="ru-RU"/>
        </w:rPr>
        <w:t>через МФЦ.</w:t>
      </w:r>
    </w:p>
    <w:p w:rsidR="00FD7DAA" w:rsidRPr="00362F2B" w:rsidRDefault="00FD7DAA">
      <w:pPr>
        <w:pStyle w:val="a3"/>
        <w:rPr>
          <w:sz w:val="20"/>
          <w:szCs w:val="20"/>
        </w:rPr>
      </w:pPr>
    </w:p>
    <w:bookmarkEnd w:id="0"/>
    <w:p w:rsidR="00FD7DAA" w:rsidRDefault="00FD7DAA">
      <w:pPr>
        <w:pStyle w:val="a3"/>
        <w:spacing w:before="6"/>
        <w:rPr>
          <w:sz w:val="26"/>
        </w:rPr>
      </w:pPr>
    </w:p>
    <w:p w:rsidR="00FD7DAA" w:rsidRDefault="00FD7DAA">
      <w:pPr>
        <w:rPr>
          <w:sz w:val="26"/>
        </w:rPr>
        <w:sectPr w:rsidR="00FD7DAA">
          <w:type w:val="continuous"/>
          <w:pgSz w:w="10800" w:h="15600"/>
          <w:pgMar w:top="780" w:right="740" w:bottom="280" w:left="720" w:header="720" w:footer="720" w:gutter="0"/>
          <w:cols w:space="720"/>
        </w:sectPr>
      </w:pPr>
    </w:p>
    <w:p w:rsidR="00FD7DAA" w:rsidRDefault="00FD7DAA">
      <w:pPr>
        <w:pStyle w:val="a3"/>
        <w:spacing w:before="8"/>
        <w:rPr>
          <w:sz w:val="47"/>
        </w:rPr>
      </w:pPr>
    </w:p>
    <w:p w:rsidR="00FD7DAA" w:rsidRDefault="00362F2B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543305</wp:posOffset>
            </wp:positionH>
            <wp:positionV relativeFrom="paragraph">
              <wp:posOffset>-156860</wp:posOffset>
            </wp:positionV>
            <wp:extent cx="522084" cy="874496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4" cy="87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</w:rPr>
        <w:t>8 (800)</w:t>
      </w:r>
      <w:r>
        <w:rPr>
          <w:color w:val="414043"/>
          <w:spacing w:val="-70"/>
        </w:rPr>
        <w:t xml:space="preserve"> </w:t>
      </w:r>
      <w:r>
        <w:rPr>
          <w:color w:val="414043"/>
        </w:rPr>
        <w:t>222-2222</w:t>
      </w:r>
    </w:p>
    <w:p w:rsidR="00362F2B" w:rsidRDefault="00362F2B" w:rsidP="00362F2B">
      <w:pPr>
        <w:spacing w:before="89"/>
        <w:ind w:left="1221" w:right="38"/>
        <w:rPr>
          <w:sz w:val="20"/>
        </w:rPr>
      </w:pPr>
      <w:r>
        <w:rPr>
          <w:color w:val="414043"/>
          <w:w w:val="110"/>
          <w:sz w:val="18"/>
        </w:rPr>
        <w:t>Бесплатный</w:t>
      </w:r>
      <w:r>
        <w:rPr>
          <w:color w:val="414043"/>
          <w:spacing w:val="-44"/>
          <w:w w:val="110"/>
          <w:sz w:val="18"/>
        </w:rPr>
        <w:t xml:space="preserve"> </w:t>
      </w:r>
      <w:r>
        <w:rPr>
          <w:color w:val="414043"/>
          <w:w w:val="110"/>
          <w:sz w:val="18"/>
        </w:rPr>
        <w:t>многоканальный</w:t>
      </w:r>
      <w:r>
        <w:rPr>
          <w:color w:val="414043"/>
          <w:spacing w:val="-41"/>
          <w:w w:val="110"/>
          <w:sz w:val="18"/>
        </w:rPr>
        <w:t xml:space="preserve"> </w:t>
      </w:r>
      <w:r>
        <w:rPr>
          <w:color w:val="414043"/>
          <w:w w:val="110"/>
          <w:sz w:val="18"/>
        </w:rPr>
        <w:t xml:space="preserve">телефон </w:t>
      </w:r>
    </w:p>
    <w:p w:rsidR="00FD7DAA" w:rsidRDefault="00FD7DAA">
      <w:pPr>
        <w:spacing w:before="95"/>
        <w:ind w:left="135" w:right="55" w:firstLine="427"/>
        <w:rPr>
          <w:sz w:val="20"/>
        </w:rPr>
      </w:pPr>
    </w:p>
    <w:sectPr w:rsidR="00FD7DAA" w:rsidSect="00362F2B">
      <w:type w:val="continuous"/>
      <w:pgSz w:w="10800" w:h="15600"/>
      <w:pgMar w:top="780" w:right="740" w:bottom="709" w:left="720" w:header="720" w:footer="720" w:gutter="0"/>
      <w:cols w:num="2" w:space="720" w:equalWidth="0">
        <w:col w:w="4695" w:space="1382"/>
        <w:col w:w="32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AA"/>
    <w:rsid w:val="00362F2B"/>
    <w:rsid w:val="00FD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2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62F2B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F2B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2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62F2B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F2B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A71B26D3A14304F18DD99DF2D1C3ABD261D7ACA7D1F075EB8C2B08864F477C68C23796421F943EEEDE92DDFFA611E9D6E34F5B5F289D1EcCP7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.GOV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ALOG.GOV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asdf</vt:lpstr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asdf</dc:title>
  <dc:creator>DesignSmash</dc:creator>
  <cp:lastModifiedBy>Павлюченко Олеся Викторовна</cp:lastModifiedBy>
  <cp:revision>2</cp:revision>
  <dcterms:created xsi:type="dcterms:W3CDTF">2024-02-02T08:21:00Z</dcterms:created>
  <dcterms:modified xsi:type="dcterms:W3CDTF">2024-02-02T08:21:00Z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2024-02-02T00:00:00Z</vt:filetime>
  </property>
</Properties>
</file>