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9D" w:rsidRDefault="00752607">
      <w:pPr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23875" cy="64833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 rotWithShape="1">
                        <a:blip r:embed="rId9"/>
                        <a:srcRect l="-489" t="-391" r="-489" b="-391"/>
                        <a:stretch/>
                      </pic:blipFill>
                      <pic:spPr bwMode="auto">
                        <a:xfrm>
                          <a:off x="0" y="0"/>
                          <a:ext cx="52387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25pt;height:51.05pt;mso-wrap-distance-left:0.00pt;mso-wrap-distance-top:0.00pt;mso-wrap-distance-right:0.00pt;mso-wrap-distance-bottom:0.00pt;z-index:1;" stroked="false">
                <v:imagedata r:id="rId10" o:title="" croptop="-255f" cropleft="-319f" cropbottom="-255f" cropright="-319f"/>
                <o:lock v:ext="edit" rotation="t"/>
              </v:shape>
            </w:pict>
          </mc:Fallback>
        </mc:AlternateContent>
      </w:r>
    </w:p>
    <w:p w:rsidR="00FD019D" w:rsidRDefault="00752607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13335" distB="12065" distL="13335" distR="12065" simplePos="0" relativeHeight="3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33655</wp:posOffset>
                </wp:positionV>
                <wp:extent cx="5940425" cy="1233805"/>
                <wp:effectExtent l="13335" t="13335" r="12065" b="12065"/>
                <wp:wrapNone/>
                <wp:docPr id="2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360" cy="123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 w:rsidR="00FD019D" w:rsidRDefault="00752607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АДМИНИСТРАЦИЯ</w:t>
                            </w:r>
                          </w:p>
                          <w:p w:rsidR="00FD019D" w:rsidRDefault="00752607">
                            <w:pPr>
                              <w:pStyle w:val="1"/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КАСЛИНСКОГО МУНИЦИПАЛЬНОГО ОКРУГА</w:t>
                            </w:r>
                          </w:p>
                          <w:p w:rsidR="00FD019D" w:rsidRDefault="00752607">
                            <w:pPr>
                              <w:pStyle w:val="1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FD019D" w:rsidRDefault="00752607">
                            <w:pPr>
                              <w:pStyle w:val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lIns="65880" tIns="20160" rIns="65880" bIns="201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4" o:spid="_x0000_s1026" style="position:absolute;margin-left:1.55pt;margin-top:2.65pt;width:467.75pt;height:97.15pt;z-index:3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" strokecolor="white" strokeweight="2pt">
                <v:textbox inset="1.83mm,.56mm,1.83mm,.56mm">
                  <w:txbxContent>
                    <w:p w:rsidR="00FD019D" w:rsidRDefault="00752607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АДМИНИСТРАЦИЯ</w:t>
                      </w:r>
                    </w:p>
                    <w:p w:rsidR="00FD019D" w:rsidRDefault="00752607">
                      <w:pPr>
                        <w:pStyle w:val="1"/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 КАСЛИНСКОГО МУНИЦИПАЛЬНОГО ОКРУГА</w:t>
                      </w:r>
                    </w:p>
                    <w:p w:rsidR="00FD019D" w:rsidRDefault="00752607">
                      <w:pPr>
                        <w:pStyle w:val="1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</w:rPr>
                        <w:t>ЧЕЛЯБИНСКОЙ ОБЛАСТИ</w:t>
                      </w:r>
                    </w:p>
                    <w:p w:rsidR="00FD019D" w:rsidRDefault="00752607">
                      <w:pPr>
                        <w:pStyle w:val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РАСПОРЯЖЕНИЕ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FD019D" w:rsidRDefault="00FD019D">
      <w:pPr>
        <w:rPr>
          <w:lang w:eastAsia="ru-RU"/>
        </w:rPr>
      </w:pPr>
    </w:p>
    <w:p w:rsidR="00FD019D" w:rsidRDefault="00FD019D">
      <w:pPr>
        <w:rPr>
          <w:lang w:eastAsia="ru-RU"/>
        </w:rPr>
      </w:pPr>
    </w:p>
    <w:p w:rsidR="00FD019D" w:rsidRDefault="00FD019D">
      <w:pPr>
        <w:rPr>
          <w:lang w:eastAsia="ru-RU"/>
        </w:rPr>
      </w:pPr>
    </w:p>
    <w:p w:rsidR="00FD019D" w:rsidRDefault="00FD019D">
      <w:pPr>
        <w:rPr>
          <w:lang w:eastAsia="ru-RU"/>
        </w:rPr>
      </w:pPr>
    </w:p>
    <w:p w:rsidR="00FD019D" w:rsidRDefault="00FD019D"/>
    <w:p w:rsidR="00FD019D" w:rsidRDefault="00FD019D"/>
    <w:p w:rsidR="00FD019D" w:rsidRDefault="00752607">
      <w:pPr>
        <w:rPr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12700" distB="12700" distL="0" distR="635" simplePos="0" relativeHeight="5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103505</wp:posOffset>
                </wp:positionV>
                <wp:extent cx="6040120" cy="635"/>
                <wp:effectExtent l="0" t="12700" r="635" b="127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40080" cy="72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hape 2" o:spid="_x0000_s2" style="position:absolute;left:0;text-align:left;z-index:5;mso-wrap-distance-left:0.00pt;mso-wrap-distance-top:1.00pt;mso-wrap-distance-right:0.05pt;mso-wrap-distance-bottom:1.00pt;visibility:visible;" from="1.5pt,8.2pt" to="477.1pt,8.2pt" filled="f" strokecolor="#000000" strokeweight="2.01pt"/>
            </w:pict>
          </mc:Fallback>
        </mc:AlternateContent>
      </w:r>
    </w:p>
    <w:p w:rsidR="00FD019D" w:rsidRDefault="00752607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5715" distB="4445" distL="5715" distR="4445" simplePos="0" relativeHeight="6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22860</wp:posOffset>
                </wp:positionV>
                <wp:extent cx="2910205" cy="568325"/>
                <wp:effectExtent l="5715" t="5715" r="4445" b="4445"/>
                <wp:wrapNone/>
                <wp:docPr id="4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0240" cy="56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 w:rsidR="00720DC2" w:rsidRDefault="00720DC2">
                            <w:pPr>
                              <w:pStyle w:val="user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от </w:t>
                            </w:r>
                            <w:r w:rsidRPr="00720DC2">
                              <w:rPr>
                                <w:color w:val="000000"/>
                                <w:sz w:val="24"/>
                                <w:u w:val="single"/>
                              </w:rPr>
                              <w:t>14.07.2026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 № </w:t>
                            </w:r>
                            <w:r w:rsidRPr="00720DC2">
                              <w:rPr>
                                <w:color w:val="000000"/>
                                <w:sz w:val="24"/>
                                <w:u w:val="single"/>
                              </w:rPr>
                              <w:t xml:space="preserve">502 </w:t>
                            </w:r>
                          </w:p>
                          <w:p w:rsidR="00FD019D" w:rsidRDefault="00752607">
                            <w:pPr>
                              <w:pStyle w:val="user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г. Касли</w:t>
                            </w:r>
                          </w:p>
                          <w:p w:rsidR="00FD019D" w:rsidRDefault="00FD019D">
                            <w:pPr>
                              <w:pStyle w:val="user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2" o:spid="_x0000_s1027" style="position:absolute;margin-left:-4.65pt;margin-top:1.8pt;width:229.15pt;height:44.75pt;z-index:6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" strokecolor="white">
                <v:textbox>
                  <w:txbxContent>
                    <w:p w:rsidR="00720DC2" w:rsidRDefault="00720DC2">
                      <w:pPr>
                        <w:pStyle w:val="user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 xml:space="preserve">от </w:t>
                      </w:r>
                      <w:r w:rsidRPr="00720DC2">
                        <w:rPr>
                          <w:color w:val="000000"/>
                          <w:sz w:val="24"/>
                          <w:u w:val="single"/>
                        </w:rPr>
                        <w:t>14.07.2026</w:t>
                      </w:r>
                      <w:r>
                        <w:rPr>
                          <w:color w:val="000000"/>
                          <w:sz w:val="24"/>
                        </w:rPr>
                        <w:t xml:space="preserve">  № </w:t>
                      </w:r>
                      <w:r w:rsidRPr="00720DC2">
                        <w:rPr>
                          <w:color w:val="000000"/>
                          <w:sz w:val="24"/>
                          <w:u w:val="single"/>
                        </w:rPr>
                        <w:t xml:space="preserve">502 </w:t>
                      </w:r>
                    </w:p>
                    <w:p w:rsidR="00FD019D" w:rsidRDefault="00752607">
                      <w:pPr>
                        <w:pStyle w:val="user1"/>
                        <w:rPr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г. Касли</w:t>
                      </w:r>
                    </w:p>
                    <w:p w:rsidR="00FD019D" w:rsidRDefault="00FD019D">
                      <w:pPr>
                        <w:pStyle w:val="user1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019D" w:rsidRDefault="00FD019D">
      <w:pPr>
        <w:rPr>
          <w:lang w:eastAsia="ru-RU"/>
        </w:rPr>
      </w:pPr>
    </w:p>
    <w:p w:rsidR="00FD019D" w:rsidRDefault="00FD019D">
      <w:pPr>
        <w:rPr>
          <w:b/>
          <w:lang w:eastAsia="ru-RU"/>
        </w:rPr>
      </w:pPr>
    </w:p>
    <w:p w:rsidR="00FD019D" w:rsidRDefault="00FD019D">
      <w:pPr>
        <w:ind w:firstLine="720"/>
        <w:jc w:val="both"/>
        <w:rPr>
          <w:b/>
          <w:sz w:val="24"/>
          <w:lang w:eastAsia="ru-RU"/>
        </w:rPr>
      </w:pPr>
    </w:p>
    <w:p w:rsidR="00FD019D" w:rsidRDefault="00FD019D">
      <w:pPr>
        <w:jc w:val="both"/>
        <w:rPr>
          <w:b/>
          <w:sz w:val="24"/>
          <w:szCs w:val="24"/>
          <w:lang w:eastAsia="ru-RU"/>
        </w:rPr>
      </w:pPr>
    </w:p>
    <w:p w:rsidR="00FD019D" w:rsidRDefault="00752607">
      <w:pPr>
        <w:ind w:right="481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Об утверждении Плана мероприятий по оздоровлению муниципальных финансов Каслинского муниципального округа </w:t>
      </w:r>
    </w:p>
    <w:p w:rsidR="00FD019D" w:rsidRDefault="00FD019D">
      <w:pPr>
        <w:ind w:left="709"/>
        <w:jc w:val="both"/>
        <w:rPr>
          <w:sz w:val="24"/>
          <w:szCs w:val="24"/>
        </w:rPr>
      </w:pPr>
    </w:p>
    <w:p w:rsidR="00FD019D" w:rsidRDefault="00FD019D">
      <w:pPr>
        <w:ind w:left="709"/>
        <w:jc w:val="both"/>
        <w:rPr>
          <w:sz w:val="24"/>
          <w:szCs w:val="24"/>
        </w:rPr>
      </w:pPr>
    </w:p>
    <w:p w:rsidR="00FD019D" w:rsidRDefault="007526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принятия мер по оздоровлению муниципальных финансов, руководствуясь Уставом Каслинского муниципального округа:</w:t>
      </w:r>
    </w:p>
    <w:p w:rsidR="00FD019D" w:rsidRDefault="00FD019D">
      <w:pPr>
        <w:ind w:firstLine="851"/>
        <w:jc w:val="both"/>
        <w:rPr>
          <w:sz w:val="24"/>
          <w:szCs w:val="24"/>
        </w:rPr>
      </w:pPr>
    </w:p>
    <w:p w:rsidR="00FD019D" w:rsidRDefault="00FD019D">
      <w:pPr>
        <w:ind w:firstLine="851"/>
        <w:jc w:val="both"/>
        <w:rPr>
          <w:sz w:val="24"/>
          <w:szCs w:val="24"/>
        </w:rPr>
      </w:pPr>
    </w:p>
    <w:p w:rsidR="00FD019D" w:rsidRDefault="00752607">
      <w:pPr>
        <w:pStyle w:val="aff8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мероприятий по оздоровлению муниципальных финансов  Каслинского муниципального округа (приложение 1).</w:t>
      </w:r>
    </w:p>
    <w:p w:rsidR="00FD019D" w:rsidRDefault="00752607">
      <w:pPr>
        <w:pStyle w:val="aff8"/>
        <w:numPr>
          <w:ilvl w:val="0"/>
          <w:numId w:val="3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Ответственным исполнителям:</w:t>
      </w:r>
    </w:p>
    <w:p w:rsidR="00FD019D" w:rsidRDefault="00752607">
      <w:pPr>
        <w:tabs>
          <w:tab w:val="left" w:pos="1134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своевременное выполнение мероприятий в установленные сроки;</w:t>
      </w:r>
    </w:p>
    <w:p w:rsidR="00FD019D" w:rsidRDefault="00752607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представлять</w:t>
      </w:r>
      <w:proofErr w:type="gramEnd"/>
      <w:r>
        <w:rPr>
          <w:sz w:val="24"/>
          <w:szCs w:val="24"/>
        </w:rPr>
        <w:t xml:space="preserve"> ежеквартально начиная со второго полугодия 2026 года до 15 числа месяца следующего за отчетным в Комитет финансов администрации Каслинского муниципального округа информацию о реализации плана мероприятий по форме согласно приложению 2.</w:t>
      </w:r>
    </w:p>
    <w:p w:rsidR="00FD019D" w:rsidRDefault="007526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Разместить в сетевом издании «Официальный сайт администрации Каслинского муниципального района Челябинской области».</w:t>
      </w:r>
    </w:p>
    <w:p w:rsidR="00FD019D" w:rsidRDefault="007526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распоряжения возложить на заместителя главы Каслинского  муниципального округа  Злоказову Н.Г.</w:t>
      </w:r>
    </w:p>
    <w:p w:rsidR="00FD019D" w:rsidRDefault="00FD019D">
      <w:pPr>
        <w:ind w:firstLine="851"/>
        <w:jc w:val="both"/>
        <w:rPr>
          <w:sz w:val="24"/>
          <w:szCs w:val="24"/>
        </w:rPr>
      </w:pPr>
    </w:p>
    <w:p w:rsidR="00FD019D" w:rsidRDefault="00FD019D">
      <w:pPr>
        <w:ind w:firstLine="851"/>
        <w:jc w:val="both"/>
        <w:rPr>
          <w:sz w:val="24"/>
          <w:szCs w:val="24"/>
        </w:rPr>
      </w:pPr>
    </w:p>
    <w:p w:rsidR="00FD019D" w:rsidRDefault="007526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</w:p>
    <w:p w:rsidR="00FD019D" w:rsidRDefault="00752607">
      <w:pPr>
        <w:jc w:val="both"/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округа                                                                   И.В. Колышев</w:t>
      </w:r>
    </w:p>
    <w:p w:rsidR="00FD019D" w:rsidRDefault="00FD019D">
      <w:pPr>
        <w:spacing w:after="200"/>
        <w:ind w:firstLine="851"/>
        <w:jc w:val="both"/>
        <w:rPr>
          <w:sz w:val="24"/>
          <w:szCs w:val="24"/>
          <w:lang w:eastAsia="ru-RU"/>
        </w:rPr>
        <w:sectPr w:rsidR="00FD019D">
          <w:pgSz w:w="11906" w:h="16838"/>
          <w:pgMar w:top="709" w:right="850" w:bottom="1134" w:left="1701" w:header="0" w:footer="0" w:gutter="0"/>
          <w:cols w:space="720"/>
        </w:sectPr>
      </w:pPr>
    </w:p>
    <w:p w:rsidR="00FD019D" w:rsidRDefault="00752607">
      <w:pPr>
        <w:spacing w:line="276" w:lineRule="auto"/>
        <w:ind w:left="10915"/>
        <w:jc w:val="right"/>
        <w:rPr>
          <w:sz w:val="24"/>
        </w:rPr>
      </w:pPr>
      <w:r>
        <w:rPr>
          <w:sz w:val="24"/>
        </w:rPr>
        <w:lastRenderedPageBreak/>
        <w:t xml:space="preserve">Приложение№1  </w:t>
      </w:r>
    </w:p>
    <w:p w:rsidR="00FD019D" w:rsidRDefault="00752607">
      <w:pPr>
        <w:spacing w:line="276" w:lineRule="auto"/>
        <w:ind w:left="10915"/>
        <w:jc w:val="right"/>
        <w:rPr>
          <w:sz w:val="24"/>
        </w:rPr>
      </w:pPr>
      <w:r>
        <w:rPr>
          <w:sz w:val="24"/>
        </w:rPr>
        <w:t>к Плану мероприятий по оздоровлению муниципальных финансов Каслинского муниципального округа</w:t>
      </w:r>
    </w:p>
    <w:p w:rsidR="00FD019D" w:rsidRDefault="00FD019D">
      <w:pPr>
        <w:spacing w:after="200" w:line="276" w:lineRule="auto"/>
        <w:jc w:val="right"/>
        <w:rPr>
          <w:sz w:val="24"/>
        </w:rPr>
      </w:pPr>
    </w:p>
    <w:p w:rsidR="00FD019D" w:rsidRDefault="0075260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</w:t>
      </w:r>
    </w:p>
    <w:p w:rsidR="00FD019D" w:rsidRDefault="0075260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оздоровлению муниципальных финансов Каслинского муниципального округа </w:t>
      </w:r>
    </w:p>
    <w:p w:rsidR="00FD019D" w:rsidRDefault="00FD019D">
      <w:pPr>
        <w:spacing w:line="276" w:lineRule="auto"/>
        <w:rPr>
          <w:sz w:val="28"/>
          <w:szCs w:val="28"/>
        </w:rPr>
      </w:pPr>
    </w:p>
    <w:tbl>
      <w:tblPr>
        <w:tblStyle w:val="aff5"/>
        <w:tblW w:w="15072" w:type="dxa"/>
        <w:tblLayout w:type="fixed"/>
        <w:tblLook w:val="04A0" w:firstRow="1" w:lastRow="0" w:firstColumn="1" w:lastColumn="0" w:noHBand="0" w:noVBand="1"/>
      </w:tblPr>
      <w:tblGrid>
        <w:gridCol w:w="675"/>
        <w:gridCol w:w="2527"/>
        <w:gridCol w:w="24"/>
        <w:gridCol w:w="1538"/>
        <w:gridCol w:w="21"/>
        <w:gridCol w:w="1540"/>
        <w:gridCol w:w="19"/>
        <w:gridCol w:w="1260"/>
        <w:gridCol w:w="16"/>
        <w:gridCol w:w="992"/>
        <w:gridCol w:w="850"/>
        <w:gridCol w:w="709"/>
        <w:gridCol w:w="141"/>
        <w:gridCol w:w="709"/>
        <w:gridCol w:w="141"/>
        <w:gridCol w:w="568"/>
        <w:gridCol w:w="850"/>
        <w:gridCol w:w="850"/>
        <w:gridCol w:w="844"/>
        <w:gridCol w:w="8"/>
        <w:gridCol w:w="790"/>
      </w:tblGrid>
      <w:tr w:rsidR="00FD019D">
        <w:trPr>
          <w:trHeight w:val="20"/>
        </w:trPr>
        <w:tc>
          <w:tcPr>
            <w:tcW w:w="675" w:type="dxa"/>
            <w:vMerge w:val="restart"/>
          </w:tcPr>
          <w:p w:rsidR="00FD019D" w:rsidRDefault="00752607">
            <w:pPr>
              <w:spacing w:after="200" w:line="276" w:lineRule="auto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27" w:type="dxa"/>
            <w:vMerge w:val="restart"/>
            <w:vAlign w:val="center"/>
          </w:tcPr>
          <w:p w:rsidR="00FD019D" w:rsidRDefault="00752607">
            <w:pPr>
              <w:spacing w:after="200" w:line="276" w:lineRule="auto"/>
            </w:pPr>
            <w:r>
              <w:t>Наименование мероприятия</w:t>
            </w:r>
          </w:p>
        </w:tc>
        <w:tc>
          <w:tcPr>
            <w:tcW w:w="1562" w:type="dxa"/>
            <w:gridSpan w:val="2"/>
            <w:vMerge w:val="restart"/>
            <w:vAlign w:val="center"/>
          </w:tcPr>
          <w:p w:rsidR="00FD019D" w:rsidRDefault="00752607">
            <w:pPr>
              <w:spacing w:after="200" w:line="276" w:lineRule="auto"/>
            </w:pPr>
            <w:r>
              <w:t>Механизм реализации</w:t>
            </w:r>
          </w:p>
        </w:tc>
        <w:tc>
          <w:tcPr>
            <w:tcW w:w="1561" w:type="dxa"/>
            <w:gridSpan w:val="2"/>
            <w:vMerge w:val="restart"/>
            <w:vAlign w:val="center"/>
          </w:tcPr>
          <w:p w:rsidR="00FD019D" w:rsidRDefault="00752607">
            <w:pPr>
              <w:spacing w:after="200" w:line="276" w:lineRule="auto"/>
            </w:pPr>
            <w:r>
              <w:t>Ответственные исполнители</w:t>
            </w:r>
          </w:p>
        </w:tc>
        <w:tc>
          <w:tcPr>
            <w:tcW w:w="1279" w:type="dxa"/>
            <w:gridSpan w:val="2"/>
            <w:vMerge w:val="restart"/>
            <w:vAlign w:val="center"/>
          </w:tcPr>
          <w:p w:rsidR="00FD019D" w:rsidRDefault="00752607">
            <w:pPr>
              <w:spacing w:after="200" w:line="276" w:lineRule="auto"/>
            </w:pPr>
            <w:r>
              <w:t>Срок реализации</w:t>
            </w:r>
          </w:p>
        </w:tc>
        <w:tc>
          <w:tcPr>
            <w:tcW w:w="1008" w:type="dxa"/>
            <w:gridSpan w:val="2"/>
            <w:vMerge w:val="restart"/>
            <w:vAlign w:val="center"/>
          </w:tcPr>
          <w:p w:rsidR="00FD019D" w:rsidRDefault="00752607">
            <w:pPr>
              <w:spacing w:after="200" w:line="276" w:lineRule="auto"/>
            </w:pPr>
            <w:r>
              <w:t xml:space="preserve">Бюджетный эффект,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  <w:tc>
          <w:tcPr>
            <w:tcW w:w="6460" w:type="dxa"/>
            <w:gridSpan w:val="11"/>
            <w:vAlign w:val="center"/>
          </w:tcPr>
          <w:p w:rsidR="00FD019D" w:rsidRDefault="00752607">
            <w:pPr>
              <w:spacing w:after="200" w:line="276" w:lineRule="auto"/>
              <w:jc w:val="center"/>
            </w:pPr>
            <w:r>
              <w:t xml:space="preserve">Оценка бюджетного эффекта,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</w:tr>
      <w:tr w:rsidR="00FD019D">
        <w:trPr>
          <w:trHeight w:val="20"/>
        </w:trPr>
        <w:tc>
          <w:tcPr>
            <w:tcW w:w="675" w:type="dxa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2527" w:type="dxa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562" w:type="dxa"/>
            <w:gridSpan w:val="2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561" w:type="dxa"/>
            <w:gridSpan w:val="2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279" w:type="dxa"/>
            <w:gridSpan w:val="2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008" w:type="dxa"/>
            <w:gridSpan w:val="2"/>
            <w:vMerge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Итого за 2025-2030 годы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</w:pPr>
            <w:r>
              <w:t>2025 (факт)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2026 (план)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2026 (факт)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2027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2028</w:t>
            </w:r>
          </w:p>
        </w:tc>
        <w:tc>
          <w:tcPr>
            <w:tcW w:w="844" w:type="dxa"/>
          </w:tcPr>
          <w:p w:rsidR="00FD019D" w:rsidRDefault="00752607">
            <w:pPr>
              <w:spacing w:after="200" w:line="276" w:lineRule="auto"/>
            </w:pPr>
            <w:r>
              <w:t>2029</w:t>
            </w:r>
          </w:p>
        </w:tc>
        <w:tc>
          <w:tcPr>
            <w:tcW w:w="797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2030</w:t>
            </w:r>
          </w:p>
        </w:tc>
      </w:tr>
      <w:tr w:rsidR="00FD019D">
        <w:trPr>
          <w:trHeight w:val="20"/>
        </w:trPr>
        <w:tc>
          <w:tcPr>
            <w:tcW w:w="15072" w:type="dxa"/>
            <w:gridSpan w:val="21"/>
          </w:tcPr>
          <w:p w:rsidR="00FD019D" w:rsidRDefault="00752607">
            <w:pPr>
              <w:pStyle w:val="aff8"/>
              <w:numPr>
                <w:ilvl w:val="0"/>
                <w:numId w:val="5"/>
              </w:num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Мероприятия, направленные на увеличение доходов бюджета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1</w:t>
            </w:r>
          </w:p>
        </w:tc>
        <w:tc>
          <w:tcPr>
            <w:tcW w:w="14397" w:type="dxa"/>
            <w:gridSpan w:val="20"/>
          </w:tcPr>
          <w:p w:rsidR="00FD019D" w:rsidRDefault="00FD019D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D019D">
        <w:trPr>
          <w:trHeight w:val="56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1.1.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Проведение оценки </w:t>
            </w:r>
            <w:bookmarkStart w:id="0" w:name="_GoBack"/>
            <w:bookmarkEnd w:id="0"/>
            <w:r>
              <w:t>эффективности налоговых льгот (пониженных ставок по налогам), предоставляемых органами местного самоуправления Каслинского муниципального округа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Аналитическая записка, содержащая сведения о бюджетной и экономической эффективности действующих налоговых льгот, о необходимости отмены неэффективных льгот (пониженных </w:t>
            </w:r>
            <w:r>
              <w:lastRenderedPageBreak/>
              <w:t>ставок по налогам)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lastRenderedPageBreak/>
              <w:t>Комитет финансов администрации Каслинского муниципального округа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Ежегодно</w:t>
            </w:r>
          </w:p>
        </w:tc>
        <w:tc>
          <w:tcPr>
            <w:tcW w:w="7468" w:type="dxa"/>
            <w:gridSpan w:val="13"/>
          </w:tcPr>
          <w:p w:rsidR="00FD019D" w:rsidRDefault="00752607">
            <w:pPr>
              <w:spacing w:after="200" w:line="276" w:lineRule="auto"/>
              <w:jc w:val="both"/>
            </w:pPr>
            <w: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1.2.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Мониторинг поступления платежей в бюджет округа в разрезе крупных налогоплательщиков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Проведение мониторинга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Комитет финансов администрации Каслинского муниципального округа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ежемесячно</w:t>
            </w:r>
          </w:p>
        </w:tc>
        <w:tc>
          <w:tcPr>
            <w:tcW w:w="7468" w:type="dxa"/>
            <w:gridSpan w:val="13"/>
          </w:tcPr>
          <w:p w:rsidR="00FD019D" w:rsidRDefault="00752607">
            <w:pPr>
              <w:spacing w:after="200" w:line="276" w:lineRule="auto"/>
              <w:jc w:val="both"/>
            </w:pPr>
            <w: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1.3.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Проведение систематической работы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 xml:space="preserve">1)легализация заработной платы, сокрытой от налогообложения; 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>2) привлечению к налогообложению выявленных объектов недвижимости и земельных участков;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 xml:space="preserve">3) </w:t>
            </w:r>
            <w:proofErr w:type="gramStart"/>
            <w:r>
              <w:t>контроль за</w:t>
            </w:r>
            <w:proofErr w:type="gramEnd"/>
            <w:r>
              <w:t xml:space="preserve"> постановкой на налоговый учет обособленных подразделений организаций, зарегистрированных в других субъектах Российской Федерации и осуществляющих деятельность на территории Каслинского муниципального округа; 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 xml:space="preserve">4) выявлению хозяйствующих </w:t>
            </w:r>
            <w:r>
              <w:lastRenderedPageBreak/>
              <w:t xml:space="preserve">субъектов, осуществляющих предпринимательскую деятельность без постановки на налоговый учет (сдача в аренду (наем) жилых и нежилых помещений); 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 xml:space="preserve">5) </w:t>
            </w:r>
            <w:proofErr w:type="gramStart"/>
            <w:r>
              <w:t>контроль за</w:t>
            </w:r>
            <w:proofErr w:type="gramEnd"/>
            <w:r>
              <w:t xml:space="preserve"> деятельностью юридических лиц, представляющих «нулевую» отчетность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lastRenderedPageBreak/>
              <w:t>Проведение Мероприятий, направленных на выявление фактов Нарушения законодательства, работа комиссий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Бюджетная комиссия при главе округа; отдел Комитет по управлению имущества и инвестиций; Финансовый орган администрации округа</w:t>
            </w:r>
          </w:p>
          <w:p w:rsidR="00FD019D" w:rsidRDefault="00FD019D">
            <w:pPr>
              <w:spacing w:after="200" w:line="276" w:lineRule="auto"/>
              <w:jc w:val="both"/>
            </w:pP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2026-2029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Протокол комиссии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120,0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844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797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1.4.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Сокращение задолженности по обязательным платежам в бюджет, укрепление платежной дисциплины посредством рассмотрения организаций и индивидуальных предпринимателей на бюджетной комиссии 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Обеспечение работы комиссии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Бюджетная комиссия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2026-2029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Протокол комиссии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  <w:jc w:val="both"/>
            </w:pPr>
            <w: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1.5.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Передача в налоговые органы сведений о фактах использования не по целевому назначению земель сельскохозяйственного использования в населённых пунктах, предназначенных для сельскохозяйственного производства и последующего использования </w:t>
            </w:r>
            <w:r>
              <w:lastRenderedPageBreak/>
              <w:t xml:space="preserve">полученных сведений для администрирования земельного налога 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lastRenderedPageBreak/>
              <w:t>Проведение проверок, направление материалов, обмен информацией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Комитет благоустройства, Комитет по управлению имуществом и инвестициям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2026-2029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Протокол комиссии</w:t>
            </w:r>
          </w:p>
        </w:tc>
        <w:tc>
          <w:tcPr>
            <w:tcW w:w="6460" w:type="dxa"/>
            <w:gridSpan w:val="11"/>
          </w:tcPr>
          <w:p w:rsidR="00FD019D" w:rsidRDefault="00752607">
            <w: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1.6.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Проведение муниципального земельного контроля для привлечения землепользователей, нарушивших земельное законодательство к административной ответственности 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Проведение проверок, направление материалов</w:t>
            </w:r>
            <w:proofErr w:type="gramStart"/>
            <w:r>
              <w:t xml:space="preserve"> ,</w:t>
            </w:r>
            <w:proofErr w:type="gramEnd"/>
            <w:r>
              <w:t>привлечение к административной ответственности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Комитет благоустройства, Комитет по управлению имуществом и инвестициям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2026-2029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Аналитическая записка, отчет по земельному контролю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20,0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4,0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4,0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3,0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3,0</w:t>
            </w:r>
          </w:p>
        </w:tc>
        <w:tc>
          <w:tcPr>
            <w:tcW w:w="844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3,0</w:t>
            </w:r>
          </w:p>
        </w:tc>
        <w:tc>
          <w:tcPr>
            <w:tcW w:w="797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3,0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1.7.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Обеспечение претензионноисковой работы по взысканию задолженности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>арендной плате за земельные участки;</w:t>
            </w:r>
          </w:p>
          <w:p w:rsidR="00FD019D" w:rsidRDefault="00752607">
            <w:pPr>
              <w:spacing w:after="200" w:line="276" w:lineRule="auto"/>
              <w:jc w:val="both"/>
            </w:pPr>
            <w:r>
              <w:t>арендной плате за использование муниципального имуществ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 xml:space="preserve">Осуществление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Комитет по управлению имуществом и инвестициям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2026-2029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Аналитическая записка, отчет о проделанной работе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5265,0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1815,0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750,0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750,0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650,0</w:t>
            </w:r>
          </w:p>
        </w:tc>
        <w:tc>
          <w:tcPr>
            <w:tcW w:w="844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650,0</w:t>
            </w:r>
          </w:p>
        </w:tc>
        <w:tc>
          <w:tcPr>
            <w:tcW w:w="797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650,0</w:t>
            </w:r>
          </w:p>
        </w:tc>
      </w:tr>
      <w:tr w:rsidR="00FD019D">
        <w:trPr>
          <w:trHeight w:val="20"/>
        </w:trPr>
        <w:tc>
          <w:tcPr>
            <w:tcW w:w="15072" w:type="dxa"/>
            <w:gridSpan w:val="21"/>
          </w:tcPr>
          <w:p w:rsidR="00FD019D" w:rsidRDefault="00752607">
            <w:pPr>
              <w:pStyle w:val="aff8"/>
              <w:numPr>
                <w:ilvl w:val="0"/>
                <w:numId w:val="4"/>
              </w:num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Мероприятия по оптимизации расходов бюджета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2.1</w:t>
            </w:r>
          </w:p>
        </w:tc>
        <w:tc>
          <w:tcPr>
            <w:tcW w:w="14397" w:type="dxa"/>
            <w:gridSpan w:val="20"/>
          </w:tcPr>
          <w:p w:rsidR="00FD019D" w:rsidRDefault="00752607">
            <w:pPr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Оптимизация расходов на муниципальное управление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2.1.1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Соблюдение нормативов формирования расходов на оплату труда депутатов, выборных должностных лиц местного самоуправления, муниципальных служащих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Расходование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нормативным правовым актом, устанавливающим нормативы </w:t>
            </w:r>
            <w:r>
              <w:lastRenderedPageBreak/>
              <w:t xml:space="preserve">формирования расходов на оплату труда депутатов, выборных должностных лиц, муниципальных служащих 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lastRenderedPageBreak/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Нормирование расходов на содержание органов местного самоупр</w:t>
            </w:r>
            <w:r>
              <w:lastRenderedPageBreak/>
              <w:t>авления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  <w:jc w:val="both"/>
            </w:pPr>
            <w:r>
              <w:lastRenderedPageBreak/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2.1.2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  <w:jc w:val="both"/>
            </w:pPr>
            <w:r>
              <w:t>Уменьшение фонда оплаты труда на сумму экономии по незамещенным вакантным должностям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Сокращение фонда оплаты труда муниципальных  органов, муниципальных учреждений на сумму экономии по незамещенным вакантным должностям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  <w:jc w:val="both"/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  <w:jc w:val="both"/>
            </w:pPr>
            <w:r>
              <w:t>Бюджетный эффект определяется по результатам исполнения бюджета Каслинского муниципального округа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2.2</w:t>
            </w:r>
          </w:p>
        </w:tc>
        <w:tc>
          <w:tcPr>
            <w:tcW w:w="14397" w:type="dxa"/>
            <w:gridSpan w:val="20"/>
          </w:tcPr>
          <w:p w:rsidR="00FD019D" w:rsidRDefault="00752607">
            <w:pPr>
              <w:spacing w:after="200" w:line="276" w:lineRule="auto"/>
            </w:pPr>
            <w:r>
              <w:t>Повышение эффективности государственных закупок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2.2.1</w:t>
            </w:r>
          </w:p>
        </w:tc>
        <w:tc>
          <w:tcPr>
            <w:tcW w:w="2527" w:type="dxa"/>
          </w:tcPr>
          <w:p w:rsidR="00FD019D" w:rsidRDefault="00752607">
            <w:pPr>
              <w:spacing w:after="200" w:line="276" w:lineRule="auto"/>
            </w:pPr>
            <w:r>
              <w:t>Централизация закупок для нужд муниципальных заказчиков</w:t>
            </w:r>
          </w:p>
        </w:tc>
        <w:tc>
          <w:tcPr>
            <w:tcW w:w="1562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 xml:space="preserve">Аналитическая информация  по результатам проведения централизованных закупочных процедур 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Исполнительный орган в сфере закупок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2.3</w:t>
            </w:r>
          </w:p>
        </w:tc>
        <w:tc>
          <w:tcPr>
            <w:tcW w:w="14397" w:type="dxa"/>
            <w:gridSpan w:val="20"/>
          </w:tcPr>
          <w:p w:rsidR="00FD019D" w:rsidRDefault="00752607">
            <w:pPr>
              <w:spacing w:after="200" w:line="276" w:lineRule="auto"/>
            </w:pPr>
            <w:r>
              <w:t>Оптимизация расходов на содержание бюджетной сети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2.3.1</w:t>
            </w:r>
          </w:p>
        </w:tc>
        <w:tc>
          <w:tcPr>
            <w:tcW w:w="2527" w:type="dxa"/>
          </w:tcPr>
          <w:p w:rsidR="00FD019D" w:rsidRDefault="00752607">
            <w:r>
              <w:t xml:space="preserve">Оптимизация перечня муниципальных </w:t>
            </w:r>
            <w:r>
              <w:lastRenderedPageBreak/>
              <w:t>учреждений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lastRenderedPageBreak/>
              <w:t xml:space="preserve">Преобразование </w:t>
            </w:r>
            <w:r>
              <w:lastRenderedPageBreak/>
              <w:t>муниципальных учреждений в организации иных организационно-правовых форм, изменение типа учреждений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lastRenderedPageBreak/>
              <w:t xml:space="preserve">Главные распорядители </w:t>
            </w:r>
            <w:r>
              <w:lastRenderedPageBreak/>
              <w:t>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r>
              <w:lastRenderedPageBreak/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r>
              <w:t xml:space="preserve">Сокращение </w:t>
            </w:r>
            <w:r>
              <w:lastRenderedPageBreak/>
              <w:t>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lastRenderedPageBreak/>
              <w:t xml:space="preserve">Бюджетный эффект определяется по результатам исполнения бюджета </w:t>
            </w:r>
            <w:r>
              <w:lastRenderedPageBreak/>
              <w:t>Каслинского муниципального округа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2.3.2</w:t>
            </w:r>
          </w:p>
        </w:tc>
        <w:tc>
          <w:tcPr>
            <w:tcW w:w="2527" w:type="dxa"/>
          </w:tcPr>
          <w:p w:rsidR="00FD019D" w:rsidRDefault="00752607">
            <w:r>
              <w:t>Оптимизация численности административно-хозяйственного и управленческого персонала учреждений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>Создание межотраслевых и/или отраслевых централизованных учреждений (бухгалтерий, информационно-методических центров, хозяйственных учреждений)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t>Бюджетный эффект определяется по результатам исполнения бюджета Каслинского муниципального округа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2.3.3</w:t>
            </w:r>
          </w:p>
        </w:tc>
        <w:tc>
          <w:tcPr>
            <w:tcW w:w="2527" w:type="dxa"/>
          </w:tcPr>
          <w:p w:rsidR="00FD019D" w:rsidRDefault="00752607">
            <w:r>
              <w:t>Оптимизация структуры и численности работников бюджетных учреждений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>Актуализация типовых положений с учетом изменения способов предоставления услуг, автоматизации работы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rPr>
                <w:highlight w:val="yellow"/>
              </w:rPr>
            </w:pPr>
            <w:r>
              <w:t>2025-2030гг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FD019D" w:rsidRDefault="00752607">
            <w:pPr>
              <w:rPr>
                <w:highlight w:val="yellow"/>
              </w:rPr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t>Бюджетный эффект определяется по результатам исполнения бюджета Каслинского муниципального округа</w:t>
            </w:r>
          </w:p>
        </w:tc>
      </w:tr>
      <w:tr w:rsidR="00FD019D">
        <w:trPr>
          <w:trHeight w:val="20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 xml:space="preserve">2.3.4. </w:t>
            </w:r>
          </w:p>
        </w:tc>
        <w:tc>
          <w:tcPr>
            <w:tcW w:w="2527" w:type="dxa"/>
          </w:tcPr>
          <w:p w:rsidR="00FD019D" w:rsidRDefault="00752607">
            <w:r>
              <w:rPr>
                <w:szCs w:val="24"/>
              </w:rPr>
              <w:t>Расширение мобильных и дистанционных форм предоставления услуг населения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rPr>
                <w:szCs w:val="24"/>
              </w:rPr>
              <w:t xml:space="preserve">Расширение мобильных и дистанционных форм предоставления услуг населения Расширение мобильных и дистанционных форм </w:t>
            </w:r>
            <w:r>
              <w:rPr>
                <w:szCs w:val="24"/>
              </w:rPr>
              <w:lastRenderedPageBreak/>
              <w:t>предоставления услуг населения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lastRenderedPageBreak/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r>
              <w:t>2025-2030гг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FD019D" w:rsidRDefault="00752607">
            <w:r>
              <w:rPr>
                <w:szCs w:val="24"/>
              </w:rPr>
              <w:t>Расширение мобильных и дистанционных форм предоставления услуг населени</w:t>
            </w:r>
            <w:r>
              <w:rPr>
                <w:szCs w:val="24"/>
              </w:rPr>
              <w:lastRenderedPageBreak/>
              <w:t>я Расширение мобильных и дистанционных форм предоставления услуг населения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lastRenderedPageBreak/>
              <w:t>Бюджетный эффект определяется по результатам исполнения бюджета Каслинского муниципального округа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2.3.5</w:t>
            </w:r>
          </w:p>
        </w:tc>
        <w:tc>
          <w:tcPr>
            <w:tcW w:w="2527" w:type="dxa"/>
          </w:tcPr>
          <w:p w:rsidR="00FD019D" w:rsidRDefault="00752607">
            <w:r>
              <w:t>Увеличение объема расходов, финансово обеспеченных за счет средств, поступивших от осуществления приносящей доход деятельности бюджетными учреждениями, с целью их направления на повышение качества оказываемых муниципальных услуг (выполняемых работ) и развитие учреждений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 xml:space="preserve">Проведение аудита платных услуг подведомственных учреждений, актуализация перечня платных услуг, оказываемых населению, и цен на услуги 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Комитет по делам образования, Комитет по культуре, Комитет по физической  культуре и спорту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Увеличение дополнительных источников доходов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1630,0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</w:pPr>
            <w:r>
              <w:t>300,0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300,0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280,0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250,0</w:t>
            </w:r>
          </w:p>
        </w:tc>
        <w:tc>
          <w:tcPr>
            <w:tcW w:w="852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250,0</w:t>
            </w:r>
          </w:p>
        </w:tc>
        <w:tc>
          <w:tcPr>
            <w:tcW w:w="789" w:type="dxa"/>
          </w:tcPr>
          <w:p w:rsidR="00FD019D" w:rsidRDefault="00752607">
            <w:pPr>
              <w:spacing w:after="200" w:line="276" w:lineRule="auto"/>
            </w:pPr>
            <w:r>
              <w:t>250,0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2.3.6</w:t>
            </w:r>
          </w:p>
        </w:tc>
        <w:tc>
          <w:tcPr>
            <w:tcW w:w="2527" w:type="dxa"/>
          </w:tcPr>
          <w:p w:rsidR="00FD019D" w:rsidRDefault="00752607">
            <w:r>
              <w:t>Передача неиспользуемого имущества в казну, списание муниципального имущества, которое утратило потребительские свойства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>Проведение аудита имущества. Передача или списание имущества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Главные распорядители бюджетных средств, Комитет по управлению имуществом и инвестициям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t>Мероприятие носит аналитический характер и не предполагает прямого бюджетного эффекта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2.4</w:t>
            </w:r>
          </w:p>
        </w:tc>
        <w:tc>
          <w:tcPr>
            <w:tcW w:w="14397" w:type="dxa"/>
            <w:gridSpan w:val="20"/>
          </w:tcPr>
          <w:p w:rsidR="00FD019D" w:rsidRDefault="00752607">
            <w:pPr>
              <w:spacing w:after="200" w:line="276" w:lineRule="auto"/>
            </w:pPr>
            <w:r>
              <w:t>Повышение эффективности расходов на жилищно-коммунальное хозяйство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lastRenderedPageBreak/>
              <w:t>2.4.1</w:t>
            </w:r>
          </w:p>
        </w:tc>
        <w:tc>
          <w:tcPr>
            <w:tcW w:w="2527" w:type="dxa"/>
          </w:tcPr>
          <w:p w:rsidR="00FD019D" w:rsidRDefault="00752607">
            <w:r>
              <w:t>Оптимизация расходов по топливно-энергетическим ресурсам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 xml:space="preserve">Оснащение потребителей бюджетных средств </w:t>
            </w:r>
            <w:proofErr w:type="spellStart"/>
            <w:r>
              <w:t>энергоэффективными</w:t>
            </w:r>
            <w:proofErr w:type="spellEnd"/>
            <w:r>
              <w:t xml:space="preserve"> осветительными приборами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t xml:space="preserve">Бюджетный эффект определяется по результатам исполнения бюджета Каслинского муниципального округа. </w:t>
            </w:r>
          </w:p>
          <w:p w:rsidR="00FD019D" w:rsidRDefault="00752607">
            <w:pPr>
              <w:spacing w:after="200" w:line="276" w:lineRule="auto"/>
            </w:pPr>
            <w:r>
              <w:t>Сокращения потребления топливно-энергетических ресурсов в натуральных показателях не менее 2% от уровня 2025 года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2.4.2</w:t>
            </w:r>
          </w:p>
        </w:tc>
        <w:tc>
          <w:tcPr>
            <w:tcW w:w="2527" w:type="dxa"/>
          </w:tcPr>
          <w:p w:rsidR="00FD019D" w:rsidRDefault="00752607">
            <w:r>
              <w:t xml:space="preserve">Улучшение учета и </w:t>
            </w:r>
            <w:proofErr w:type="gramStart"/>
            <w:r>
              <w:t>контроля за</w:t>
            </w:r>
            <w:proofErr w:type="gramEnd"/>
            <w:r>
              <w:t xml:space="preserve"> потребляемыми ресурсами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>Оснащение потребителей приборами учета и контроля энергоресурсов. Утверждение лимитов потребления коммунальных услуг получателями бюджетных средств</w:t>
            </w:r>
          </w:p>
        </w:tc>
        <w:tc>
          <w:tcPr>
            <w:tcW w:w="1561" w:type="dxa"/>
            <w:gridSpan w:val="2"/>
          </w:tcPr>
          <w:p w:rsidR="00FD019D" w:rsidRDefault="00752607">
            <w:r>
              <w:t>Главные распорядители бюджетных средств</w:t>
            </w:r>
          </w:p>
        </w:tc>
        <w:tc>
          <w:tcPr>
            <w:tcW w:w="1279" w:type="dxa"/>
            <w:gridSpan w:val="2"/>
          </w:tcPr>
          <w:p w:rsidR="00FD019D" w:rsidRDefault="00752607"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r>
              <w:t>Сокращение расходов бюджета Каслинского муниципального округа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700,0</w:t>
            </w:r>
          </w:p>
        </w:tc>
        <w:tc>
          <w:tcPr>
            <w:tcW w:w="709" w:type="dxa"/>
          </w:tcPr>
          <w:p w:rsidR="00FD019D" w:rsidRDefault="00752607">
            <w:pPr>
              <w:spacing w:after="200" w:line="276" w:lineRule="auto"/>
            </w:pPr>
            <w:r>
              <w:t>150,0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150,0</w:t>
            </w:r>
          </w:p>
        </w:tc>
        <w:tc>
          <w:tcPr>
            <w:tcW w:w="709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100,0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100,0</w:t>
            </w:r>
          </w:p>
        </w:tc>
        <w:tc>
          <w:tcPr>
            <w:tcW w:w="852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100,0</w:t>
            </w:r>
          </w:p>
        </w:tc>
        <w:tc>
          <w:tcPr>
            <w:tcW w:w="789" w:type="dxa"/>
          </w:tcPr>
          <w:p w:rsidR="00FD019D" w:rsidRDefault="00752607">
            <w:pPr>
              <w:spacing w:after="200" w:line="276" w:lineRule="auto"/>
            </w:pPr>
            <w:r>
              <w:t>100,0</w:t>
            </w:r>
          </w:p>
        </w:tc>
      </w:tr>
      <w:tr w:rsidR="00FD019D">
        <w:trPr>
          <w:trHeight w:val="566"/>
        </w:trPr>
        <w:tc>
          <w:tcPr>
            <w:tcW w:w="675" w:type="dxa"/>
          </w:tcPr>
          <w:p w:rsidR="00FD019D" w:rsidRDefault="00752607">
            <w:pPr>
              <w:spacing w:after="200" w:line="276" w:lineRule="auto"/>
            </w:pPr>
            <w:r>
              <w:t>2.4.3</w:t>
            </w:r>
          </w:p>
        </w:tc>
        <w:tc>
          <w:tcPr>
            <w:tcW w:w="2527" w:type="dxa"/>
          </w:tcPr>
          <w:p w:rsidR="00FD019D" w:rsidRDefault="00752607">
            <w:r>
              <w:t>Повышение эффективности уличного освещения</w:t>
            </w:r>
          </w:p>
        </w:tc>
        <w:tc>
          <w:tcPr>
            <w:tcW w:w="1562" w:type="dxa"/>
            <w:gridSpan w:val="2"/>
          </w:tcPr>
          <w:p w:rsidR="00FD019D" w:rsidRDefault="00752607">
            <w:r>
              <w:t>Использование приборов уличного освещения установленной мощности и энергоэффективности для уличного освещения и объектов улично-дорожной сети</w:t>
            </w:r>
          </w:p>
        </w:tc>
        <w:tc>
          <w:tcPr>
            <w:tcW w:w="156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Комитет по развитию территорий</w:t>
            </w:r>
          </w:p>
        </w:tc>
        <w:tc>
          <w:tcPr>
            <w:tcW w:w="1279" w:type="dxa"/>
            <w:gridSpan w:val="2"/>
          </w:tcPr>
          <w:p w:rsidR="00FD019D" w:rsidRDefault="00752607">
            <w:r>
              <w:t>2025-2030гг</w:t>
            </w:r>
          </w:p>
        </w:tc>
        <w:tc>
          <w:tcPr>
            <w:tcW w:w="1008" w:type="dxa"/>
            <w:gridSpan w:val="2"/>
          </w:tcPr>
          <w:p w:rsidR="00FD019D" w:rsidRDefault="00752607">
            <w:r>
              <w:t>Сокращение расходов бюджета Каслинского муниципального округа</w:t>
            </w:r>
          </w:p>
        </w:tc>
        <w:tc>
          <w:tcPr>
            <w:tcW w:w="6460" w:type="dxa"/>
            <w:gridSpan w:val="11"/>
          </w:tcPr>
          <w:p w:rsidR="00FD019D" w:rsidRDefault="00752607">
            <w:pPr>
              <w:spacing w:after="200" w:line="276" w:lineRule="auto"/>
            </w:pPr>
            <w:r>
              <w:t xml:space="preserve">Бюджетный эффект определяется по результатам исполнения бюджета Каслинского муниципального округа. </w:t>
            </w:r>
          </w:p>
          <w:p w:rsidR="00FD019D" w:rsidRDefault="00752607">
            <w:pPr>
              <w:spacing w:after="200" w:line="276" w:lineRule="auto"/>
            </w:pPr>
            <w:r>
              <w:t>Сокращения потребления топливно-энергетических ресурсов в натуральных показателях не менее 2% от уровня 2025 года</w:t>
            </w:r>
          </w:p>
        </w:tc>
      </w:tr>
      <w:tr w:rsidR="00376B85">
        <w:trPr>
          <w:trHeight w:val="566"/>
        </w:trPr>
        <w:tc>
          <w:tcPr>
            <w:tcW w:w="675" w:type="dxa"/>
          </w:tcPr>
          <w:p w:rsidR="00376B85" w:rsidRDefault="00376B85">
            <w:pPr>
              <w:spacing w:after="200" w:line="276" w:lineRule="auto"/>
            </w:pPr>
            <w:r>
              <w:t>2.4.4</w:t>
            </w:r>
          </w:p>
        </w:tc>
        <w:tc>
          <w:tcPr>
            <w:tcW w:w="2527" w:type="dxa"/>
          </w:tcPr>
          <w:p w:rsidR="00376B85" w:rsidRDefault="00376B85">
            <w:r>
              <w:t xml:space="preserve">Контроль (мониторинг) за состоянием просроченной кредиторской и дебиторской задолженности, анализ </w:t>
            </w:r>
            <w:r>
              <w:lastRenderedPageBreak/>
              <w:t>причин её образования. Проведение претензионных процедур по взысканию дебиторской задолженности</w:t>
            </w:r>
          </w:p>
        </w:tc>
        <w:tc>
          <w:tcPr>
            <w:tcW w:w="1562" w:type="dxa"/>
            <w:gridSpan w:val="2"/>
          </w:tcPr>
          <w:p w:rsidR="00376B85" w:rsidRDefault="00376B85">
            <w:r>
              <w:lastRenderedPageBreak/>
              <w:t xml:space="preserve">Осуществление мероприятий по погашению кредиторской задолженности </w:t>
            </w:r>
            <w:r>
              <w:lastRenderedPageBreak/>
              <w:t>и по взысканию дебиторской</w:t>
            </w:r>
          </w:p>
        </w:tc>
        <w:tc>
          <w:tcPr>
            <w:tcW w:w="1561" w:type="dxa"/>
            <w:gridSpan w:val="2"/>
          </w:tcPr>
          <w:p w:rsidR="00376B85" w:rsidRDefault="00376B85">
            <w:pPr>
              <w:spacing w:after="200" w:line="276" w:lineRule="auto"/>
            </w:pPr>
            <w:r>
              <w:lastRenderedPageBreak/>
              <w:t>Главные распорядители бюджетных средств, муниципальны</w:t>
            </w:r>
            <w:r>
              <w:lastRenderedPageBreak/>
              <w:t>е учреждения, Комитет финансов КМО</w:t>
            </w:r>
          </w:p>
        </w:tc>
        <w:tc>
          <w:tcPr>
            <w:tcW w:w="1279" w:type="dxa"/>
            <w:gridSpan w:val="2"/>
          </w:tcPr>
          <w:p w:rsidR="00376B85" w:rsidRDefault="00376B85">
            <w:r>
              <w:lastRenderedPageBreak/>
              <w:t>2025-2030гг</w:t>
            </w:r>
          </w:p>
        </w:tc>
        <w:tc>
          <w:tcPr>
            <w:tcW w:w="1008" w:type="dxa"/>
            <w:gridSpan w:val="2"/>
          </w:tcPr>
          <w:p w:rsidR="00376B85" w:rsidRDefault="00376B85">
            <w:r>
              <w:t>Сокращение кредиторской и дебиторс</w:t>
            </w:r>
            <w:r>
              <w:lastRenderedPageBreak/>
              <w:t>кой задолженностей</w:t>
            </w:r>
          </w:p>
        </w:tc>
        <w:tc>
          <w:tcPr>
            <w:tcW w:w="6460" w:type="dxa"/>
            <w:gridSpan w:val="11"/>
          </w:tcPr>
          <w:p w:rsidR="00376B85" w:rsidRDefault="00376B85">
            <w:pPr>
              <w:spacing w:after="200" w:line="276" w:lineRule="auto"/>
            </w:pPr>
            <w:r>
              <w:lastRenderedPageBreak/>
              <w:t>Погашение кредиторской задолженности и сокращения дебиторской задолженности</w:t>
            </w:r>
          </w:p>
        </w:tc>
      </w:tr>
      <w:tr w:rsidR="00FD019D">
        <w:tc>
          <w:tcPr>
            <w:tcW w:w="675" w:type="dxa"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2551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ИТОГО</w:t>
            </w:r>
          </w:p>
        </w:tc>
        <w:tc>
          <w:tcPr>
            <w:tcW w:w="1559" w:type="dxa"/>
            <w:gridSpan w:val="2"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559" w:type="dxa"/>
            <w:gridSpan w:val="2"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1276" w:type="dxa"/>
            <w:gridSpan w:val="2"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992" w:type="dxa"/>
          </w:tcPr>
          <w:p w:rsidR="00FD019D" w:rsidRDefault="00FD019D">
            <w:pPr>
              <w:spacing w:after="200" w:line="276" w:lineRule="auto"/>
            </w:pP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7735,0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2289,0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1224,0</w:t>
            </w:r>
          </w:p>
        </w:tc>
        <w:tc>
          <w:tcPr>
            <w:tcW w:w="567" w:type="dxa"/>
          </w:tcPr>
          <w:p w:rsidR="00FD019D" w:rsidRDefault="00752607">
            <w:pPr>
              <w:spacing w:after="200" w:line="276" w:lineRule="auto"/>
            </w:pPr>
            <w:r>
              <w:t>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1153,0</w:t>
            </w:r>
          </w:p>
        </w:tc>
        <w:tc>
          <w:tcPr>
            <w:tcW w:w="850" w:type="dxa"/>
          </w:tcPr>
          <w:p w:rsidR="00FD019D" w:rsidRDefault="00752607">
            <w:pPr>
              <w:spacing w:after="200" w:line="276" w:lineRule="auto"/>
            </w:pPr>
            <w:r>
              <w:t>1023,0</w:t>
            </w:r>
          </w:p>
        </w:tc>
        <w:tc>
          <w:tcPr>
            <w:tcW w:w="850" w:type="dxa"/>
            <w:gridSpan w:val="2"/>
          </w:tcPr>
          <w:p w:rsidR="00FD019D" w:rsidRDefault="00752607">
            <w:pPr>
              <w:spacing w:after="200" w:line="276" w:lineRule="auto"/>
            </w:pPr>
            <w:r>
              <w:t>1023,0</w:t>
            </w:r>
          </w:p>
        </w:tc>
        <w:tc>
          <w:tcPr>
            <w:tcW w:w="787" w:type="dxa"/>
          </w:tcPr>
          <w:p w:rsidR="00FD019D" w:rsidRDefault="00752607">
            <w:pPr>
              <w:spacing w:after="200" w:line="276" w:lineRule="auto"/>
            </w:pPr>
            <w:r>
              <w:t>1023,0</w:t>
            </w:r>
          </w:p>
        </w:tc>
      </w:tr>
    </w:tbl>
    <w:p w:rsidR="00FD019D" w:rsidRDefault="00FD019D">
      <w:pPr>
        <w:spacing w:after="200" w:line="276" w:lineRule="auto"/>
      </w:pPr>
    </w:p>
    <w:p w:rsidR="00FD019D" w:rsidRDefault="00752607">
      <w:pPr>
        <w:spacing w:after="200" w:line="276" w:lineRule="auto"/>
      </w:pPr>
      <w:r>
        <w:br w:type="page" w:clear="all"/>
      </w:r>
    </w:p>
    <w:p w:rsidR="00FD019D" w:rsidRDefault="00752607">
      <w:pPr>
        <w:ind w:left="11340"/>
        <w:jc w:val="right"/>
        <w:rPr>
          <w:sz w:val="24"/>
        </w:rPr>
      </w:pPr>
      <w:r>
        <w:rPr>
          <w:sz w:val="24"/>
        </w:rPr>
        <w:lastRenderedPageBreak/>
        <w:t xml:space="preserve">Приложение№2  </w:t>
      </w:r>
    </w:p>
    <w:p w:rsidR="00FD019D" w:rsidRDefault="00752607">
      <w:pPr>
        <w:ind w:left="11340"/>
        <w:jc w:val="right"/>
        <w:rPr>
          <w:sz w:val="24"/>
        </w:rPr>
      </w:pPr>
      <w:r>
        <w:rPr>
          <w:sz w:val="24"/>
        </w:rPr>
        <w:t>к Плану мероприятий по оздоровлению муниципальных финансов Каслинского муниципального округа</w:t>
      </w:r>
    </w:p>
    <w:p w:rsidR="00FD019D" w:rsidRDefault="00FD019D">
      <w:pPr>
        <w:ind w:firstLine="851"/>
        <w:jc w:val="both"/>
      </w:pPr>
    </w:p>
    <w:p w:rsidR="00FD019D" w:rsidRDefault="00752607">
      <w:pPr>
        <w:ind w:firstLine="851"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Информация </w:t>
      </w:r>
    </w:p>
    <w:p w:rsidR="00FD019D" w:rsidRDefault="00752607">
      <w:pPr>
        <w:ind w:firstLine="851"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о реализации мероприятий по Плану мероприятий по оздоровлению муниципальных финансов </w:t>
      </w:r>
    </w:p>
    <w:p w:rsidR="00FD019D" w:rsidRDefault="00752607">
      <w:pPr>
        <w:ind w:firstLine="851"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Каслинского муниципального округа</w:t>
      </w:r>
    </w:p>
    <w:p w:rsidR="00FD019D" w:rsidRDefault="00FD019D">
      <w:pPr>
        <w:ind w:firstLine="851"/>
        <w:jc w:val="center"/>
        <w:rPr>
          <w:sz w:val="28"/>
          <w:szCs w:val="24"/>
          <w:lang w:eastAsia="ru-RU"/>
        </w:rPr>
      </w:pPr>
    </w:p>
    <w:p w:rsidR="00FD019D" w:rsidRDefault="00FD019D">
      <w:pPr>
        <w:ind w:firstLine="851"/>
        <w:jc w:val="center"/>
        <w:rPr>
          <w:sz w:val="28"/>
          <w:szCs w:val="24"/>
          <w:lang w:eastAsia="ru-RU"/>
        </w:rPr>
      </w:pPr>
    </w:p>
    <w:tbl>
      <w:tblPr>
        <w:tblStyle w:val="aff5"/>
        <w:tblW w:w="14992" w:type="dxa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693"/>
        <w:gridCol w:w="3402"/>
        <w:gridCol w:w="2693"/>
      </w:tblGrid>
      <w:tr w:rsidR="00FD019D">
        <w:tc>
          <w:tcPr>
            <w:tcW w:w="1809" w:type="dxa"/>
            <w:vAlign w:val="center"/>
          </w:tcPr>
          <w:p w:rsidR="00FD019D" w:rsidRDefault="007526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z w:val="22"/>
                <w:lang w:val="en-AU"/>
              </w:rPr>
              <w:t xml:space="preserve">* </w:t>
            </w:r>
            <w:r>
              <w:rPr>
                <w:sz w:val="22"/>
              </w:rPr>
              <w:t>мероприятия из Плана</w:t>
            </w:r>
          </w:p>
        </w:tc>
        <w:tc>
          <w:tcPr>
            <w:tcW w:w="4395" w:type="dxa"/>
            <w:vAlign w:val="center"/>
          </w:tcPr>
          <w:p w:rsidR="00FD019D" w:rsidRDefault="007526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:rsidR="00FD019D" w:rsidRDefault="007526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Бюджетный эффект, в  тыс. рублях</w:t>
            </w:r>
          </w:p>
        </w:tc>
        <w:tc>
          <w:tcPr>
            <w:tcW w:w="3402" w:type="dxa"/>
            <w:vAlign w:val="center"/>
          </w:tcPr>
          <w:p w:rsidR="00FD019D" w:rsidRDefault="007526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показателя, план</w:t>
            </w:r>
          </w:p>
        </w:tc>
        <w:tc>
          <w:tcPr>
            <w:tcW w:w="2693" w:type="dxa"/>
            <w:vAlign w:val="center"/>
          </w:tcPr>
          <w:p w:rsidR="00FD019D" w:rsidRDefault="00FD019D">
            <w:pPr>
              <w:jc w:val="center"/>
              <w:rPr>
                <w:sz w:val="22"/>
              </w:rPr>
            </w:pPr>
          </w:p>
          <w:p w:rsidR="00FD019D" w:rsidRDefault="007526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Информация об исполнении**</w:t>
            </w:r>
          </w:p>
        </w:tc>
      </w:tr>
      <w:tr w:rsidR="00FD019D">
        <w:tc>
          <w:tcPr>
            <w:tcW w:w="1809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4395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</w:tr>
      <w:tr w:rsidR="00FD019D">
        <w:tc>
          <w:tcPr>
            <w:tcW w:w="1809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4395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FD019D" w:rsidRDefault="00FD019D">
            <w:pPr>
              <w:jc w:val="center"/>
              <w:rPr>
                <w:sz w:val="22"/>
              </w:rPr>
            </w:pPr>
          </w:p>
        </w:tc>
      </w:tr>
    </w:tbl>
    <w:p w:rsidR="00FD019D" w:rsidRDefault="00FD019D">
      <w:pPr>
        <w:ind w:firstLine="851"/>
        <w:jc w:val="center"/>
        <w:rPr>
          <w:sz w:val="22"/>
        </w:rPr>
      </w:pPr>
    </w:p>
    <w:p w:rsidR="00FD019D" w:rsidRDefault="00752607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*- наименование мероприятий указывается в соответствии с приложением № 1 к Плану мероприятий по оздоровлению муниципальных финансов Каслинского муниципального округа </w:t>
      </w:r>
    </w:p>
    <w:p w:rsidR="00FD019D" w:rsidRDefault="00752607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**- информация об исполнении должна содержать краткое описание проведенной работы</w:t>
      </w:r>
    </w:p>
    <w:p w:rsidR="00FD019D" w:rsidRDefault="00FD019D">
      <w:pPr>
        <w:ind w:firstLine="851"/>
        <w:rPr>
          <w:sz w:val="22"/>
        </w:rPr>
      </w:pPr>
    </w:p>
    <w:sectPr w:rsidR="00FD019D">
      <w:pgSz w:w="16838" w:h="11906" w:orient="landscape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0A" w:rsidRDefault="0016520A">
      <w:r>
        <w:separator/>
      </w:r>
    </w:p>
  </w:endnote>
  <w:endnote w:type="continuationSeparator" w:id="0">
    <w:p w:rsidR="0016520A" w:rsidRDefault="0016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0A" w:rsidRDefault="0016520A">
      <w:r>
        <w:separator/>
      </w:r>
    </w:p>
  </w:footnote>
  <w:footnote w:type="continuationSeparator" w:id="0">
    <w:p w:rsidR="0016520A" w:rsidRDefault="00165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EA4"/>
    <w:multiLevelType w:val="multilevel"/>
    <w:tmpl w:val="CEA2CE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CF11FE"/>
    <w:multiLevelType w:val="multilevel"/>
    <w:tmpl w:val="730868A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641DE8"/>
    <w:multiLevelType w:val="multilevel"/>
    <w:tmpl w:val="5E8EC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53D0A"/>
    <w:multiLevelType w:val="multilevel"/>
    <w:tmpl w:val="D00E26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F0E159A"/>
    <w:multiLevelType w:val="multilevel"/>
    <w:tmpl w:val="3F249A0A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A1A0624"/>
    <w:multiLevelType w:val="multilevel"/>
    <w:tmpl w:val="E2603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9D"/>
    <w:rsid w:val="000A2B06"/>
    <w:rsid w:val="0016520A"/>
    <w:rsid w:val="00376B85"/>
    <w:rsid w:val="00720DC2"/>
    <w:rsid w:val="00752607"/>
    <w:rsid w:val="00FD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footnote text"/>
    <w:basedOn w:val="a"/>
    <w:link w:val="af5"/>
    <w:uiPriority w:val="99"/>
    <w:semiHidden/>
    <w:unhideWhenUsed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f">
    <w:name w:val="Заголовок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  <w:rPr>
      <w:rFonts w:cs="Arial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user1">
    <w:name w:val="Содержимое врезки (user)"/>
    <w:basedOn w:val="a"/>
    <w:qFormat/>
  </w:style>
  <w:style w:type="paragraph" w:customStyle="1" w:styleId="aff4">
    <w:name w:val="Содержимое врезки"/>
    <w:basedOn w:val="a"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character" w:customStyle="1" w:styleId="aff9">
    <w:name w:val="Без интервала Знак"/>
    <w:basedOn w:val="a0"/>
    <w:link w:val="affa"/>
    <w:uiPriority w:val="1"/>
    <w:rPr>
      <w:sz w:val="24"/>
    </w:rPr>
  </w:style>
  <w:style w:type="paragraph" w:styleId="affa">
    <w:name w:val="No Spacing"/>
    <w:link w:val="aff9"/>
    <w:uiPriority w:val="1"/>
    <w:qFormat/>
    <w:pPr>
      <w:spacing w:after="120"/>
      <w:ind w:firstLine="720"/>
      <w:contextualSpacing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footnote text"/>
    <w:basedOn w:val="a"/>
    <w:link w:val="af5"/>
    <w:uiPriority w:val="99"/>
    <w:semiHidden/>
    <w:unhideWhenUsed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f">
    <w:name w:val="Заголовок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  <w:rPr>
      <w:rFonts w:cs="Arial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user1">
    <w:name w:val="Содержимое врезки (user)"/>
    <w:basedOn w:val="a"/>
    <w:qFormat/>
  </w:style>
  <w:style w:type="paragraph" w:customStyle="1" w:styleId="aff4">
    <w:name w:val="Содержимое врезки"/>
    <w:basedOn w:val="a"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character" w:customStyle="1" w:styleId="aff9">
    <w:name w:val="Без интервала Знак"/>
    <w:basedOn w:val="a0"/>
    <w:link w:val="affa"/>
    <w:uiPriority w:val="1"/>
    <w:rPr>
      <w:sz w:val="24"/>
    </w:rPr>
  </w:style>
  <w:style w:type="paragraph" w:styleId="affa">
    <w:name w:val="No Spacing"/>
    <w:link w:val="aff9"/>
    <w:uiPriority w:val="1"/>
    <w:qFormat/>
    <w:pPr>
      <w:spacing w:after="120"/>
      <w:ind w:firstLine="720"/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00FD-64CA-4F5B-9571-74EDF212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cp:lastPrinted>2026-07-21T05:10:00Z</cp:lastPrinted>
  <dcterms:created xsi:type="dcterms:W3CDTF">2026-07-21T05:27:00Z</dcterms:created>
  <dcterms:modified xsi:type="dcterms:W3CDTF">2026-07-21T05:27:00Z</dcterms:modified>
  <dc:language>ru-RU</dc:language>
</cp:coreProperties>
</file>