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W"/>
        <w:widowControl w:val="false"/>
        <w:numPr>
          <w:ilvl w:val="0"/>
          <w:numId w:val="4"/>
        </w:numPr>
        <w:autoSpaceDE w:val="false"/>
        <w:spacing w:lineRule="auto" w:line="240" w:before="0" w:after="0"/>
        <w:ind w:left="432" w:firstLine="5522"/>
        <w:rPr>
          <w:rFonts w:ascii="Times New Roman" w:hAnsi="Times New Roman" w:cs="Times New Roman"/>
          <w:b/>
          <w:b/>
        </w:rPr>
      </w:pPr>
      <w:r>
        <w:rPr>
          <w:rFonts w:cs="Times New Roman" w:ascii="Times New Roman" w:hAnsi="Times New Roman"/>
          <w:b/>
        </w:rPr>
        <w:t>УТВЕРЖДАЮ</w:t>
      </w:r>
    </w:p>
    <w:p>
      <w:pPr>
        <w:pStyle w:val="WW"/>
        <w:widowControl w:val="false"/>
        <w:numPr>
          <w:ilvl w:val="0"/>
          <w:numId w:val="4"/>
        </w:numPr>
        <w:autoSpaceDE w:val="false"/>
        <w:spacing w:lineRule="auto" w:line="240" w:before="0" w:after="0"/>
        <w:ind w:left="432" w:firstLine="5522"/>
        <w:rPr/>
      </w:pPr>
      <w:r>
        <w:rPr>
          <w:rFonts w:cs="Times New Roman" w:ascii="Times New Roman" w:hAnsi="Times New Roman"/>
          <w:b/>
          <w:lang w:val="en-US"/>
        </w:rPr>
        <w:t xml:space="preserve">Заместитель </w:t>
      </w:r>
      <w:r>
        <w:rPr>
          <w:rFonts w:cs="Times New Roman" w:ascii="Times New Roman" w:hAnsi="Times New Roman"/>
          <w:b/>
        </w:rPr>
        <w:t>главы Каслинского</w:t>
      </w:r>
    </w:p>
    <w:p>
      <w:pPr>
        <w:pStyle w:val="WW"/>
        <w:widowControl w:val="false"/>
        <w:numPr>
          <w:ilvl w:val="0"/>
          <w:numId w:val="4"/>
        </w:numPr>
        <w:autoSpaceDE w:val="false"/>
        <w:spacing w:lineRule="auto" w:line="240" w:before="0" w:after="0"/>
        <w:ind w:left="432" w:firstLine="5522"/>
        <w:rPr/>
      </w:pPr>
      <w:r>
        <w:rPr>
          <w:rFonts w:cs="Times New Roman" w:ascii="Times New Roman" w:hAnsi="Times New Roman"/>
          <w:b/>
        </w:rPr>
        <w:t>муниципального района</w:t>
      </w:r>
    </w:p>
    <w:p>
      <w:pPr>
        <w:pStyle w:val="WW"/>
        <w:widowControl w:val="false"/>
        <w:autoSpaceDE w:val="false"/>
        <w:spacing w:lineRule="auto" w:line="240" w:before="0" w:after="0"/>
        <w:rPr>
          <w:rFonts w:ascii="Times New Roman" w:hAnsi="Times New Roman" w:cs="Times New Roman"/>
          <w:b/>
          <w:b/>
        </w:rPr>
      </w:pPr>
      <w:r>
        <w:rPr>
          <w:rFonts w:cs="Times New Roman" w:ascii="Times New Roman" w:hAnsi="Times New Roman"/>
          <w:b/>
        </w:rPr>
      </w:r>
    </w:p>
    <w:p>
      <w:pPr>
        <w:pStyle w:val="WW"/>
        <w:widowControl w:val="false"/>
        <w:autoSpaceDE w:val="false"/>
        <w:spacing w:lineRule="auto" w:line="240" w:before="0" w:after="0"/>
        <w:ind w:left="5760" w:hanging="0"/>
        <w:rPr/>
      </w:pPr>
      <w:r>
        <w:rPr>
          <w:rFonts w:eastAsia="Times New Roman" w:cs="Times New Roman" w:ascii="Times New Roman" w:hAnsi="Times New Roman"/>
          <w:b/>
        </w:rPr>
        <w:t xml:space="preserve">   </w:t>
      </w:r>
      <w:r>
        <w:rPr>
          <w:rFonts w:cs="Times New Roman" w:ascii="Times New Roman" w:hAnsi="Times New Roman"/>
          <w:b/>
        </w:rPr>
        <w:t>______________ В.В. Горобец</w:t>
      </w:r>
    </w:p>
    <w:p>
      <w:pPr>
        <w:pStyle w:val="WW"/>
        <w:widowControl w:val="false"/>
        <w:numPr>
          <w:ilvl w:val="0"/>
          <w:numId w:val="4"/>
        </w:numPr>
        <w:autoSpaceDE w:val="false"/>
        <w:spacing w:lineRule="auto" w:line="240" w:before="0" w:after="0"/>
        <w:jc w:val="both"/>
        <w:rPr/>
      </w:pPr>
      <w:r>
        <w:rPr/>
      </w:r>
    </w:p>
    <w:p>
      <w:pPr>
        <w:pStyle w:val="2"/>
        <w:widowControl w:val="false"/>
        <w:numPr>
          <w:ilvl w:val="1"/>
          <w:numId w:val="4"/>
        </w:numPr>
        <w:autoSpaceDE w:val="false"/>
        <w:spacing w:before="0" w:after="0"/>
        <w:jc w:val="right"/>
        <w:rPr/>
      </w:pPr>
      <w:r>
        <w:rPr/>
      </w:r>
    </w:p>
    <w:p>
      <w:pPr>
        <w:pStyle w:val="WW"/>
        <w:spacing w:lineRule="auto" w:line="240" w:before="0" w:after="0"/>
        <w:rPr/>
      </w:pPr>
      <w:r>
        <w:rPr/>
      </w:r>
    </w:p>
    <w:p>
      <w:pPr>
        <w:pStyle w:val="WW"/>
        <w:spacing w:lineRule="auto" w:line="240" w:before="0" w:after="0"/>
        <w:rPr/>
      </w:pPr>
      <w:r>
        <w:rPr/>
      </w:r>
    </w:p>
    <w:p>
      <w:pPr>
        <w:pStyle w:val="WW"/>
        <w:spacing w:lineRule="auto" w:line="240" w:before="0" w:after="0"/>
        <w:rPr/>
      </w:pPr>
      <w:r>
        <w:rPr/>
      </w:r>
    </w:p>
    <w:p>
      <w:pPr>
        <w:pStyle w:val="WW"/>
        <w:spacing w:lineRule="auto" w:line="240" w:before="0" w:after="0"/>
        <w:rPr/>
      </w:pPr>
      <w:r>
        <w:rPr/>
      </w:r>
    </w:p>
    <w:p>
      <w:pPr>
        <w:pStyle w:val="2"/>
        <w:widowControl w:val="false"/>
        <w:numPr>
          <w:ilvl w:val="1"/>
          <w:numId w:val="4"/>
        </w:numPr>
        <w:autoSpaceDE w:val="false"/>
        <w:spacing w:before="0" w:after="0"/>
        <w:jc w:val="center"/>
        <w:rPr/>
      </w:pPr>
      <w:r>
        <w:rPr/>
      </w:r>
    </w:p>
    <w:p>
      <w:pPr>
        <w:pStyle w:val="2"/>
        <w:widowControl w:val="false"/>
        <w:numPr>
          <w:ilvl w:val="1"/>
          <w:numId w:val="4"/>
        </w:numPr>
        <w:autoSpaceDE w:val="false"/>
        <w:spacing w:before="0" w:after="0"/>
        <w:jc w:val="center"/>
        <w:rPr>
          <w:rFonts w:ascii="Times New Roman" w:hAnsi="Times New Roman" w:cs="Times New Roman"/>
        </w:rPr>
      </w:pPr>
      <w:r>
        <w:rPr>
          <w:rFonts w:cs="Times New Roman" w:ascii="Times New Roman" w:hAnsi="Times New Roman"/>
        </w:rPr>
        <w:t>КОНКУРСНАЯ ДОКУМЕНТАЦИЯ</w:t>
      </w:r>
    </w:p>
    <w:p>
      <w:pPr>
        <w:pStyle w:val="WW"/>
        <w:widowControl w:val="false"/>
        <w:tabs>
          <w:tab w:val="left" w:pos="5145" w:leader="none"/>
        </w:tabs>
        <w:autoSpaceDE w:val="false"/>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ConsPlusTitle"/>
        <w:spacing w:lineRule="atLeast" w:line="200"/>
        <w:jc w:val="center"/>
        <w:rPr>
          <w:rFonts w:ascii="Times New Roman" w:hAnsi="Times New Roman" w:cs="Times New Roman"/>
          <w:b w:val="false"/>
          <w:b w:val="false"/>
          <w:color w:val="000000"/>
          <w:sz w:val="28"/>
          <w:szCs w:val="28"/>
        </w:rPr>
      </w:pPr>
      <w:r>
        <w:rPr>
          <w:rFonts w:cs="Times New Roman" w:ascii="Times New Roman" w:hAnsi="Times New Roman"/>
          <w:b w:val="false"/>
          <w:color w:val="000000"/>
          <w:sz w:val="28"/>
          <w:szCs w:val="28"/>
        </w:rPr>
        <w:t xml:space="preserve">по отбору инвестора для реализации мероприятий </w:t>
      </w:r>
      <w:r>
        <w:rPr>
          <w:rFonts w:cs="Times New Roman" w:ascii="Times New Roman" w:hAnsi="Times New Roman"/>
          <w:b w:val="false"/>
          <w:sz w:val="28"/>
          <w:szCs w:val="28"/>
        </w:rPr>
        <w:t>по строительству отдельно стоящей газовой котельной, предназначенных для теплоснабжения поселка Береговой Каслинского муниципального района</w:t>
      </w:r>
    </w:p>
    <w:p>
      <w:pPr>
        <w:pStyle w:val="ConsNormal"/>
        <w:widowControl/>
        <w:tabs>
          <w:tab w:val="left" w:pos="972" w:leader="none"/>
        </w:tabs>
        <w:ind w:right="0" w:hanging="0"/>
        <w:jc w:val="center"/>
        <w:rPr>
          <w:rFonts w:ascii="Times New Roman" w:hAnsi="Times New Roman" w:cs="Times New Roman"/>
          <w:b/>
          <w:b/>
          <w:color w:val="000000"/>
          <w:sz w:val="28"/>
          <w:szCs w:val="28"/>
        </w:rPr>
      </w:pPr>
      <w:r>
        <w:rPr>
          <w:rFonts w:cs="Times New Roman" w:ascii="Times New Roman" w:hAnsi="Times New Roman"/>
          <w:b/>
          <w:color w:val="000000"/>
          <w:sz w:val="28"/>
          <w:szCs w:val="28"/>
        </w:rPr>
      </w:r>
    </w:p>
    <w:p>
      <w:pPr>
        <w:pStyle w:val="WW"/>
        <w:widowControl w:val="false"/>
        <w:autoSpaceDE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WW"/>
        <w:widowControl w:val="false"/>
        <w:autoSpaceDE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WW"/>
        <w:widowControl w:val="false"/>
        <w:autoSpaceDE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Xl24"/>
        <w:spacing w:before="0" w:after="0"/>
        <w:rPr>
          <w:rFonts w:ascii="Times New Roman" w:hAnsi="Times New Roman" w:cs="Times New Roman"/>
          <w:sz w:val="28"/>
          <w:szCs w:val="28"/>
        </w:rPr>
      </w:pPr>
      <w:r>
        <w:rPr>
          <w:rFonts w:cs="Times New Roman"/>
          <w:sz w:val="28"/>
          <w:szCs w:val="28"/>
        </w:rPr>
      </w:r>
    </w:p>
    <w:p>
      <w:pPr>
        <w:pStyle w:val="Xl24"/>
        <w:spacing w:before="0" w:after="0"/>
        <w:rPr>
          <w:sz w:val="28"/>
          <w:szCs w:val="28"/>
        </w:rPr>
      </w:pPr>
      <w:r>
        <w:rPr>
          <w:sz w:val="28"/>
          <w:szCs w:val="28"/>
        </w:rPr>
      </w:r>
    </w:p>
    <w:p>
      <w:pPr>
        <w:pStyle w:val="Xl24"/>
        <w:spacing w:before="0" w:after="0"/>
        <w:rPr>
          <w:sz w:val="28"/>
          <w:szCs w:val="28"/>
        </w:rPr>
      </w:pPr>
      <w:r>
        <w:rPr>
          <w:sz w:val="28"/>
          <w:szCs w:val="28"/>
        </w:rPr>
      </w:r>
    </w:p>
    <w:p>
      <w:pPr>
        <w:pStyle w:val="Xl24"/>
        <w:spacing w:before="0" w:after="0"/>
        <w:rPr>
          <w:sz w:val="28"/>
          <w:szCs w:val="28"/>
        </w:rPr>
      </w:pPr>
      <w:r>
        <w:rPr>
          <w:sz w:val="28"/>
          <w:szCs w:val="28"/>
        </w:rPr>
      </w:r>
    </w:p>
    <w:p>
      <w:pPr>
        <w:pStyle w:val="WW"/>
        <w:widowControl w:val="false"/>
        <w:autoSpaceDE w:val="false"/>
        <w:spacing w:lineRule="auto" w:line="240" w:before="0" w:after="0"/>
        <w:jc w:val="center"/>
        <w:rPr/>
      </w:pPr>
      <w:r>
        <w:rPr/>
      </w:r>
    </w:p>
    <w:p>
      <w:pPr>
        <w:pStyle w:val="WW"/>
        <w:widowControl w:val="false"/>
        <w:autoSpaceDE w:val="false"/>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
    </w:p>
    <w:p>
      <w:pPr>
        <w:pStyle w:val="WW"/>
        <w:spacing w:lineRule="auto" w:line="240" w:before="0" w:after="0"/>
        <w:jc w:val="center"/>
        <w:rPr/>
      </w:pPr>
      <w:r>
        <w:rPr>
          <w:rFonts w:cs="Times New Roman" w:ascii="Times New Roman" w:hAnsi="Times New Roman"/>
        </w:rPr>
        <w:t xml:space="preserve">г. Касли, </w:t>
      </w:r>
      <w:r>
        <w:rPr>
          <w:rFonts w:cs="Times New Roman" w:ascii="Times New Roman" w:hAnsi="Times New Roman"/>
        </w:rPr>
        <w:t>2020</w:t>
      </w:r>
    </w:p>
    <w:p>
      <w:pPr>
        <w:pStyle w:val="WW"/>
        <w:spacing w:lineRule="auto" w:line="240" w:before="0" w:after="0"/>
        <w:jc w:val="center"/>
        <w:rPr>
          <w:rFonts w:ascii="Times New Roman" w:hAnsi="Times New Roman" w:cs="Times New Roman"/>
        </w:rPr>
      </w:pPr>
      <w:r>
        <w:rPr>
          <w:rFonts w:cs="Times New Roman" w:ascii="Times New Roman" w:hAnsi="Times New Roman"/>
        </w:rPr>
      </w:r>
    </w:p>
    <w:p>
      <w:pPr>
        <w:pStyle w:val="WW"/>
        <w:spacing w:lineRule="auto" w:line="240" w:before="0" w:after="0"/>
        <w:jc w:val="center"/>
        <w:rPr>
          <w:rFonts w:ascii="Times New Roman" w:hAnsi="Times New Roman" w:cs="Times New Roman"/>
        </w:rPr>
      </w:pPr>
      <w:r>
        <w:rPr>
          <w:rFonts w:cs="Times New Roman" w:ascii="Times New Roman" w:hAnsi="Times New Roman"/>
        </w:rPr>
      </w:r>
    </w:p>
    <w:p>
      <w:pPr>
        <w:pStyle w:val="WW"/>
        <w:spacing w:lineRule="auto" w:line="240" w:before="0" w:after="0"/>
        <w:jc w:val="center"/>
        <w:rPr>
          <w:rFonts w:ascii="Times New Roman" w:hAnsi="Times New Roman" w:cs="Times New Roman"/>
        </w:rPr>
      </w:pPr>
      <w:r>
        <w:rPr>
          <w:rFonts w:cs="Times New Roman" w:ascii="Times New Roman" w:hAnsi="Times New Roman"/>
        </w:rPr>
      </w:r>
    </w:p>
    <w:p>
      <w:pPr>
        <w:pStyle w:val="WW"/>
        <w:spacing w:lineRule="auto" w:line="240" w:before="0" w:after="0"/>
        <w:jc w:val="center"/>
        <w:rPr>
          <w:rFonts w:ascii="Times New Roman" w:hAnsi="Times New Roman" w:cs="Times New Roman"/>
        </w:rPr>
      </w:pPr>
      <w:r>
        <w:rPr>
          <w:rFonts w:cs="Times New Roman" w:ascii="Times New Roman" w:hAnsi="Times New Roman"/>
        </w:rPr>
      </w:r>
    </w:p>
    <w:p>
      <w:pPr>
        <w:pStyle w:val="WW"/>
        <w:spacing w:lineRule="auto" w:line="240" w:before="0" w:after="0"/>
        <w:jc w:val="center"/>
        <w:rPr>
          <w:rFonts w:ascii="Times New Roman" w:hAnsi="Times New Roman" w:cs="Times New Roman"/>
        </w:rPr>
      </w:pPr>
      <w:r>
        <w:rPr>
          <w:rFonts w:cs="Times New Roman" w:ascii="Times New Roman" w:hAnsi="Times New Roman"/>
        </w:rPr>
      </w:r>
    </w:p>
    <w:p>
      <w:pPr>
        <w:pStyle w:val="WW"/>
        <w:spacing w:lineRule="auto" w:line="240" w:before="0" w:after="0"/>
        <w:jc w:val="center"/>
        <w:rPr/>
      </w:pPr>
      <w:r>
        <w:rPr>
          <w:rFonts w:cs="Times New Roman" w:ascii="Times New Roman" w:hAnsi="Times New Roman"/>
        </w:rPr>
        <w:t>СОДЕРЖАНИЕ КОНКУРСНОЙ ДОКУМЕНТАЦИИ</w:t>
      </w:r>
    </w:p>
    <w:p>
      <w:pPr>
        <w:pStyle w:val="WW"/>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WW"/>
        <w:spacing w:lineRule="auto" w:line="240" w:before="0" w:after="0"/>
        <w:rPr>
          <w:rFonts w:ascii="Times New Roman" w:hAnsi="Times New Roman" w:cs="Times New Roman"/>
          <w:sz w:val="24"/>
          <w:szCs w:val="24"/>
        </w:rPr>
      </w:pPr>
      <w:r>
        <w:rPr>
          <w:rFonts w:cs="Times New Roman" w:ascii="Times New Roman" w:hAnsi="Times New Roman"/>
          <w:sz w:val="24"/>
          <w:szCs w:val="24"/>
        </w:rPr>
        <w:t>1. Информационное сообщение;</w:t>
      </w:r>
    </w:p>
    <w:p>
      <w:pPr>
        <w:pStyle w:val="Text1cl"/>
        <w:spacing w:before="0" w:after="0"/>
        <w:jc w:val="left"/>
        <w:rPr/>
      </w:pPr>
      <w:r>
        <w:rPr/>
        <w:t>2. Существенные условия инвестиционного соглашения;</w:t>
      </w:r>
    </w:p>
    <w:p>
      <w:pPr>
        <w:pStyle w:val="Text1cl"/>
        <w:spacing w:before="0" w:after="0"/>
        <w:jc w:val="left"/>
        <w:rPr/>
      </w:pPr>
      <w:r>
        <w:rPr/>
        <w:t>3. Состав и описание, в том числе технико-экономические показатели объекта инвестиционного соглашения;</w:t>
      </w:r>
    </w:p>
    <w:p>
      <w:pPr>
        <w:pStyle w:val="Text1cl"/>
        <w:spacing w:before="0" w:after="0"/>
        <w:jc w:val="left"/>
        <w:rPr/>
      </w:pPr>
      <w:r>
        <w:rPr/>
        <w:t>4. Требования, предъявляемые к участникам конкурсного отбора;</w:t>
      </w:r>
    </w:p>
    <w:p>
      <w:pPr>
        <w:pStyle w:val="Text1cl"/>
        <w:spacing w:before="0" w:after="0"/>
        <w:jc w:val="left"/>
        <w:rPr/>
      </w:pPr>
      <w:r>
        <w:rPr/>
        <w:t>5. Критерии конкурсного отбора;</w:t>
      </w:r>
    </w:p>
    <w:p>
      <w:pPr>
        <w:pStyle w:val="Text1cl"/>
        <w:spacing w:before="0" w:after="0"/>
        <w:jc w:val="left"/>
        <w:rPr/>
      </w:pPr>
      <w:r>
        <w:rPr/>
        <w:t>6. Форма и порядок предоставления заявок на участие в конкурсном отборе;</w:t>
      </w:r>
    </w:p>
    <w:p>
      <w:pPr>
        <w:pStyle w:val="Text1cl"/>
        <w:spacing w:before="0" w:after="0"/>
        <w:jc w:val="left"/>
        <w:rPr/>
      </w:pPr>
      <w:r>
        <w:rPr/>
        <w:t>7.  Порядок вскрытия конвертов на участие в конкурсном отборе;</w:t>
      </w:r>
    </w:p>
    <w:p>
      <w:pPr>
        <w:pStyle w:val="Text1cl"/>
        <w:spacing w:before="0" w:after="0"/>
        <w:jc w:val="left"/>
        <w:rPr/>
      </w:pPr>
      <w:r>
        <w:rPr/>
        <w:t>8.  Порядок определения победителя конкурсного отбора;</w:t>
      </w:r>
    </w:p>
    <w:p>
      <w:pPr>
        <w:pStyle w:val="Text1cl"/>
        <w:spacing w:before="0" w:after="0"/>
        <w:jc w:val="left"/>
        <w:rPr/>
      </w:pPr>
      <w:r>
        <w:rPr/>
        <w:t>9.  Порядок и сроки подписания протокола о результатах проведения конкурса и информирования участников конкурса о принятом решении;</w:t>
      </w:r>
    </w:p>
    <w:p>
      <w:pPr>
        <w:pStyle w:val="Text1cl"/>
        <w:spacing w:before="0" w:after="0"/>
        <w:jc w:val="left"/>
        <w:rPr/>
      </w:pPr>
      <w:r>
        <w:rPr/>
        <w:t>10 Требования к победителю конкурсного отбора о предоставлении документов, подтверждающих обеспечение исполнения обязательств инвестора по инвестиционному соглашению;</w:t>
      </w:r>
    </w:p>
    <w:p>
      <w:pPr>
        <w:pStyle w:val="Style19"/>
        <w:tabs>
          <w:tab w:val="left" w:pos="360" w:leader="none"/>
        </w:tabs>
        <w:spacing w:before="0" w:after="0"/>
        <w:rPr/>
      </w:pPr>
      <w:r>
        <w:rPr/>
        <w:t>11. Проект инвестиционного соглашения.</w:t>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rPr>
          <w:sz w:val="28"/>
          <w:szCs w:val="28"/>
        </w:rPr>
      </w:pPr>
      <w:r>
        <w:rPr>
          <w:sz w:val="28"/>
          <w:szCs w:val="28"/>
        </w:rPr>
      </w:r>
    </w:p>
    <w:p>
      <w:pPr>
        <w:pStyle w:val="Style19"/>
        <w:tabs>
          <w:tab w:val="left" w:pos="360" w:leader="none"/>
        </w:tabs>
        <w:spacing w:before="0" w:after="0"/>
        <w:jc w:val="center"/>
        <w:rPr/>
      </w:pPr>
      <w:r>
        <w:rPr>
          <w:sz w:val="28"/>
          <w:szCs w:val="28"/>
        </w:rPr>
        <w:t xml:space="preserve">1. </w:t>
      </w:r>
      <w:r>
        <w:rPr/>
        <w:t>Информационное сообщение</w:t>
      </w:r>
    </w:p>
    <w:tbl>
      <w:tblPr>
        <w:tblW w:w="10511"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675"/>
        <w:gridCol w:w="4003"/>
        <w:gridCol w:w="5833"/>
      </w:tblGrid>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w:t>
            </w:r>
          </w:p>
          <w:p>
            <w:pPr>
              <w:pStyle w:val="Normal"/>
              <w:jc w:val="center"/>
              <w:rPr/>
            </w:pPr>
            <w:r>
              <w:rPr/>
              <w:t>п/п</w:t>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Наименование пункта</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pPr>
            <w:r>
              <w:rPr/>
              <w:t>Содержание пункта</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
                <w:b/>
              </w:rPr>
            </w:pPr>
            <w:r>
              <w:rPr>
                <w:b/>
              </w:rPr>
              <w:t>1</w:t>
            </w:r>
          </w:p>
        </w:tc>
        <w:tc>
          <w:tcPr>
            <w:tcW w:w="98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b/>
              </w:rPr>
              <w:t>Информация об  Организаторе конкурса</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Наименование:</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Управление строительства и инфраструктуры администрации Каслинского муниципального района</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Место нахождения:</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456830, Челябинская область, Каслинский район, город Касли, ул. Ленина, д. 55</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Почтовый адрес:</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456830, Челябинская область, Каслинский район, город Касли, ул. Ленина, д. 55</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Адрес электронной почты:</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hyperlink r:id="rId2">
              <w:r>
                <w:rPr>
                  <w:rStyle w:val="Style13"/>
                  <w:shd w:fill="FFFFFF" w:val="clear"/>
                  <w:lang w:val="en-US"/>
                </w:rPr>
                <w:t>kmr.gkh@mail.ru</w:t>
              </w:r>
            </w:hyperlink>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lang w:val="en-US"/>
              </w:rPr>
            </w:pPr>
            <w:r>
              <w:rPr/>
              <w:t>Номер контактного телефона:</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rFonts w:cs="Arial" w:ascii="Arial" w:hAnsi="Arial"/>
                <w:color w:val="333333"/>
                <w:sz w:val="27"/>
                <w:szCs w:val="27"/>
                <w:shd w:fill="FFFFFF" w:val="clear"/>
              </w:rPr>
              <w:t> </w:t>
            </w:r>
            <w:hyperlink r:id="rId3">
              <w:r>
                <w:rPr>
                  <w:rStyle w:val="Style13"/>
                  <w:color w:val="000000"/>
                  <w:u w:val="none"/>
                  <w:shd w:fill="FFFFFF" w:val="clear"/>
                </w:rPr>
                <w:t>8 (35149) 2-25-48</w:t>
              </w:r>
            </w:hyperlink>
            <w:r>
              <w:rPr>
                <w:shd w:fill="FFFFFF" w:val="clear"/>
              </w:rPr>
              <w:t>, </w:t>
            </w:r>
            <w:hyperlink r:id="rId4">
              <w:r>
                <w:rPr>
                  <w:rStyle w:val="Style13"/>
                  <w:color w:val="000000"/>
                  <w:u w:val="none"/>
                  <w:shd w:fill="FFFFFF" w:val="clear"/>
                </w:rPr>
                <w:t>8 (35149) 2-22-42</w:t>
              </w:r>
            </w:hyperlink>
          </w:p>
        </w:tc>
      </w:tr>
      <w:tr>
        <w:trPr>
          <w:trHeight w:val="305" w:hRule="atLeast"/>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both"/>
              <w:rPr/>
            </w:pPr>
            <w:r>
              <w:rPr/>
              <w:t>Контактное лицо:</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Горобец Вячеслав Владимирович</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b/>
                <w:b/>
              </w:rPr>
            </w:pPr>
            <w:r>
              <w:rPr>
                <w:b/>
              </w:rPr>
              <w:t>2</w:t>
            </w:r>
          </w:p>
        </w:tc>
        <w:tc>
          <w:tcPr>
            <w:tcW w:w="98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b/>
                <w:b/>
              </w:rPr>
            </w:pPr>
            <w:r>
              <w:rPr>
                <w:b/>
              </w:rPr>
              <w:t>Краткое изложение условий инвестиционного соглашения</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both"/>
              <w:rPr/>
            </w:pPr>
            <w:r>
              <w:rPr/>
              <w:t>Наименование конкурсного отбора</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widowControl w:val="false"/>
              <w:numPr>
                <w:ilvl w:val="0"/>
                <w:numId w:val="0"/>
              </w:numPr>
              <w:ind w:left="33" w:hanging="0"/>
              <w:jc w:val="both"/>
              <w:outlineLvl w:val="0"/>
              <w:rPr/>
            </w:pPr>
            <w:r>
              <w:rPr>
                <w:color w:val="000000"/>
              </w:rPr>
              <w:t xml:space="preserve">Отбор инвестора для реализации мероприятий </w:t>
            </w:r>
            <w:r>
              <w:rPr/>
              <w:t>по строительству отдельно стоящей газовой котельной.</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both"/>
              <w:rPr/>
            </w:pPr>
            <w:r>
              <w:rPr/>
              <w:t>Описание объекта конкурса</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19"/>
              <w:spacing w:lineRule="auto" w:line="276" w:before="0" w:after="0"/>
              <w:jc w:val="both"/>
              <w:rPr/>
            </w:pPr>
            <w:r>
              <w:rPr/>
              <w:t>Проектирование, строительство отдельно стоящей газовой котельной, предназначенной для теплоснабжения поселка Береговой Каслинского муниципального района, проектирование и строительство подводящих инженерных сетей к новой газовой котельной.</w:t>
            </w:r>
          </w:p>
          <w:p>
            <w:pPr>
              <w:pStyle w:val="Style19"/>
              <w:shd w:fill="FFFFFF" w:val="clear"/>
              <w:spacing w:before="0" w:after="0"/>
              <w:ind w:left="75" w:hanging="0"/>
              <w:jc w:val="both"/>
              <w:rPr/>
            </w:pPr>
            <w:r>
              <w:rPr/>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Объём работ</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Согласно техническому заданию на строительство объекта, условиям инвестиционного соглашения (прилагается)</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Сроки начала и завершения работ</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Начало срока выполнения работ – с момента заключения инвестиционного соглашения</w:t>
            </w:r>
          </w:p>
          <w:p>
            <w:pPr>
              <w:pStyle w:val="Normal"/>
              <w:jc w:val="both"/>
              <w:rPr/>
            </w:pPr>
            <w:r>
              <w:rPr/>
              <w:t>Окончание срока выполнения работ:</w:t>
            </w:r>
          </w:p>
          <w:p>
            <w:pPr>
              <w:pStyle w:val="Normal"/>
              <w:jc w:val="both"/>
              <w:rPr/>
            </w:pPr>
            <w:r>
              <w:rPr/>
              <w:t xml:space="preserve">«01» </w:t>
            </w:r>
            <w:r>
              <w:rPr/>
              <w:t>октября</w:t>
            </w:r>
            <w:r>
              <w:rPr/>
              <w:t xml:space="preserve"> 2020 г. – окончание срока строительства.</w:t>
            </w:r>
          </w:p>
          <w:p>
            <w:pPr>
              <w:pStyle w:val="Normal"/>
              <w:jc w:val="both"/>
              <w:rPr/>
            </w:pPr>
            <w:r>
              <w:rPr/>
              <w:t xml:space="preserve"> </w:t>
            </w:r>
            <w:r>
              <w:rPr/>
              <w:t xml:space="preserve">«01» </w:t>
            </w:r>
            <w:r>
              <w:rPr/>
              <w:t>ноября</w:t>
            </w:r>
            <w:r>
              <w:rPr/>
              <w:t xml:space="preserve"> 2020 г.  – срок ввода объекта в эксплуатацию.</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Источник финансирования</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Проектирование, строительство отдельно стоящей газовой котельной,  проектирование и строительство подводящих инженерных сетей к новой газовой котельной – средства инвестора.</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b/>
                <w:b/>
              </w:rPr>
            </w:pPr>
            <w:r>
              <w:rPr>
                <w:b/>
              </w:rPr>
              <w:t>3</w:t>
            </w:r>
          </w:p>
        </w:tc>
        <w:tc>
          <w:tcPr>
            <w:tcW w:w="98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b/>
                <w:b/>
              </w:rPr>
            </w:pPr>
            <w:r>
              <w:rPr>
                <w:b/>
              </w:rPr>
              <w:t>Обеспечение исполнения инвестиционного соглашения</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both"/>
              <w:rPr/>
            </w:pPr>
            <w:r>
              <w:rPr/>
              <w:t>Размер обеспечения исполнения инвестиционного соглашения</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widowControl w:val="false"/>
              <w:autoSpaceDE w:val="false"/>
              <w:jc w:val="both"/>
              <w:rPr/>
            </w:pPr>
            <w:r>
              <w:rPr/>
              <w:t>Размер обеспечения исполнения инвестиционного соглашения установлен в размере 1 000 000 (Один миллион) рублей</w:t>
            </w:r>
            <w:r>
              <w:rPr>
                <w:b/>
              </w:rPr>
              <w:t>.</w:t>
            </w:r>
            <w:r>
              <w:rPr/>
              <w:t xml:space="preserve"> </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Срок предоставления обеспечения инвестиционного соглашения</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Соглашение заключается после предоставления участником конкурса, с которым заключается соглашение, обеспечения исполнения соглашения.</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pPr>
            <w:r>
              <w:rPr/>
              <w:t>Порядок предоставления обеспечения исполнения инвестиционного соглашения, требования к такому обеспечению</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widowControl w:val="false"/>
              <w:autoSpaceDE w:val="false"/>
              <w:jc w:val="both"/>
              <w:rPr/>
            </w:pPr>
            <w:r>
              <w:rPr/>
              <w:t xml:space="preserve">Исполнение соглашения должно обеспечиваться </w:t>
            </w:r>
          </w:p>
          <w:p>
            <w:pPr>
              <w:pStyle w:val="Normal"/>
              <w:autoSpaceDE w:val="false"/>
              <w:jc w:val="both"/>
              <w:rPr/>
            </w:pPr>
            <w:r>
              <w:rPr/>
              <w:t xml:space="preserve">предоставлением безотзывной банковской гарантии, выданной банком </w:t>
            </w:r>
            <w:r>
              <w:rPr>
                <w:bCs/>
              </w:rPr>
              <w:t>и соответствующей действующему законодательству РФ.</w:t>
            </w:r>
            <w:r>
              <w:rPr/>
              <w:t xml:space="preserve"> </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b/>
                <w:b/>
              </w:rPr>
            </w:pPr>
            <w:r>
              <w:rPr>
                <w:b/>
              </w:rPr>
              <w:t>4</w:t>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b/>
                <w:b/>
              </w:rPr>
            </w:pPr>
            <w:r>
              <w:rPr>
                <w:b/>
              </w:rPr>
              <w:t>Срок, место и порядок подачи заявок участников закупки</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WW"/>
              <w:autoSpaceDE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Для участия в конкурсе Участник конкурса подает в письменной форме заявку на участие в конкурсе в запечатанном конверте, не позволяющем просматривать содержание заявки до вскрытия по адресу:  456830, Челябинская область, Каслинский район, город Касли, ул. Ленина, д. 55.</w:t>
            </w:r>
          </w:p>
          <w:p>
            <w:pPr>
              <w:pStyle w:val="WW"/>
              <w:autoSpaceDE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Режим работы (время местное):</w:t>
            </w:r>
          </w:p>
          <w:p>
            <w:pPr>
              <w:pStyle w:val="WW"/>
              <w:autoSpaceDE w:val="false"/>
              <w:spacing w:lineRule="auto" w:line="240" w:before="0" w:after="0"/>
              <w:jc w:val="both"/>
              <w:rPr/>
            </w:pPr>
            <w:r>
              <w:rPr>
                <w:rFonts w:cs="Times New Roman" w:ascii="Times New Roman" w:hAnsi="Times New Roman"/>
                <w:sz w:val="24"/>
                <w:szCs w:val="24"/>
              </w:rPr>
              <w:t>понедельник-пятница: с 8ч.00 мин. до 17ч.00мин.</w:t>
            </w:r>
          </w:p>
          <w:p>
            <w:pPr>
              <w:pStyle w:val="WW"/>
              <w:autoSpaceDE w:val="false"/>
              <w:spacing w:lineRule="auto" w:line="240" w:before="0" w:after="0"/>
              <w:jc w:val="both"/>
              <w:rPr/>
            </w:pPr>
            <w:r>
              <w:rPr>
                <w:rFonts w:cs="Times New Roman" w:ascii="Times New Roman" w:hAnsi="Times New Roman"/>
                <w:sz w:val="24"/>
                <w:szCs w:val="24"/>
              </w:rPr>
              <w:t xml:space="preserve">обеденный перерыв: с 13ч.00мин. до 14ч.00мин. </w:t>
            </w:r>
          </w:p>
          <w:p>
            <w:pPr>
              <w:pStyle w:val="WW"/>
              <w:autoSpaceDE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суббота, воскресенье: выходной</w:t>
            </w:r>
          </w:p>
          <w:p>
            <w:pPr>
              <w:pStyle w:val="WW"/>
              <w:autoSpaceDE w:val="false"/>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Дата начала срока</w:t>
            </w:r>
            <w:r>
              <w:rPr>
                <w:rFonts w:cs="Times New Roman" w:ascii="Times New Roman" w:hAnsi="Times New Roman"/>
                <w:b/>
                <w:bCs/>
                <w:sz w:val="24"/>
                <w:szCs w:val="24"/>
              </w:rPr>
              <w:t xml:space="preserve"> </w:t>
            </w:r>
            <w:r>
              <w:rPr>
                <w:rFonts w:cs="Times New Roman" w:ascii="Times New Roman" w:hAnsi="Times New Roman"/>
                <w:b/>
                <w:sz w:val="24"/>
                <w:szCs w:val="24"/>
              </w:rPr>
              <w:t>подачи заявок на участие в конкурсе:</w:t>
            </w:r>
          </w:p>
          <w:p>
            <w:pPr>
              <w:pStyle w:val="WW"/>
              <w:spacing w:lineRule="auto" w:line="240" w:before="0" w:after="0"/>
              <w:jc w:val="both"/>
              <w:rPr/>
            </w:pPr>
            <w:r>
              <w:rPr>
                <w:rFonts w:cs="Times New Roman" w:ascii="Times New Roman" w:hAnsi="Times New Roman"/>
                <w:sz w:val="24"/>
                <w:szCs w:val="24"/>
              </w:rPr>
              <w:t>«</w:t>
            </w:r>
            <w:r>
              <w:rPr>
                <w:rFonts w:cs="Times New Roman" w:ascii="Times New Roman" w:hAnsi="Times New Roman"/>
                <w:sz w:val="24"/>
                <w:szCs w:val="24"/>
              </w:rPr>
              <w:t>18</w:t>
            </w:r>
            <w:r>
              <w:rPr>
                <w:rFonts w:cs="Times New Roman" w:ascii="Times New Roman" w:hAnsi="Times New Roman"/>
                <w:sz w:val="24"/>
                <w:szCs w:val="24"/>
              </w:rPr>
              <w:t xml:space="preserve">» </w:t>
            </w:r>
            <w:r>
              <w:rPr>
                <w:rFonts w:cs="Times New Roman" w:ascii="Times New Roman" w:hAnsi="Times New Roman"/>
                <w:sz w:val="24"/>
                <w:szCs w:val="24"/>
              </w:rPr>
              <w:t>мая</w:t>
            </w:r>
            <w:r>
              <w:rPr>
                <w:rFonts w:cs="Times New Roman" w:ascii="Times New Roman" w:hAnsi="Times New Roman"/>
                <w:sz w:val="24"/>
                <w:szCs w:val="24"/>
              </w:rPr>
              <w:t xml:space="preserve"> 2020 </w:t>
            </w:r>
            <w:r>
              <w:rPr>
                <w:rFonts w:cs="Times New Roman" w:ascii="Times New Roman" w:hAnsi="Times New Roman"/>
                <w:sz w:val="24"/>
                <w:szCs w:val="24"/>
              </w:rPr>
              <w:t>года</w:t>
            </w:r>
            <w:r>
              <w:rPr>
                <w:rFonts w:cs="Times New Roman" w:ascii="Times New Roman" w:hAnsi="Times New Roman"/>
                <w:sz w:val="24"/>
                <w:szCs w:val="24"/>
              </w:rPr>
              <w:t>, в соответствии с режимом работы Организатора конкурса.</w:t>
            </w:r>
          </w:p>
          <w:p>
            <w:pPr>
              <w:pStyle w:val="WW"/>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Дата и время окончания срока подачи заявок на участие в конкурсе:</w:t>
            </w:r>
          </w:p>
          <w:p>
            <w:pPr>
              <w:pStyle w:val="WW"/>
              <w:spacing w:lineRule="auto" w:line="240" w:before="0" w:after="0"/>
              <w:jc w:val="both"/>
              <w:rPr/>
            </w:pPr>
            <w:r>
              <w:rPr>
                <w:rFonts w:cs="Times New Roman" w:ascii="Times New Roman" w:hAnsi="Times New Roman"/>
                <w:b/>
                <w:sz w:val="24"/>
                <w:szCs w:val="24"/>
              </w:rPr>
              <w:t>«</w:t>
            </w:r>
            <w:r>
              <w:rPr>
                <w:rFonts w:cs="Times New Roman" w:ascii="Times New Roman" w:hAnsi="Times New Roman"/>
                <w:b/>
                <w:sz w:val="24"/>
                <w:szCs w:val="24"/>
              </w:rPr>
              <w:t>03</w:t>
            </w:r>
            <w:r>
              <w:rPr>
                <w:rFonts w:cs="Times New Roman" w:ascii="Times New Roman" w:hAnsi="Times New Roman"/>
                <w:b/>
                <w:sz w:val="24"/>
                <w:szCs w:val="24"/>
              </w:rPr>
              <w:t xml:space="preserve">» </w:t>
            </w:r>
            <w:r>
              <w:rPr>
                <w:rFonts w:cs="Times New Roman" w:ascii="Times New Roman" w:hAnsi="Times New Roman"/>
                <w:b/>
                <w:sz w:val="24"/>
                <w:szCs w:val="24"/>
              </w:rPr>
              <w:t>июня</w:t>
            </w:r>
            <w:r>
              <w:rPr>
                <w:rFonts w:cs="Times New Roman" w:ascii="Times New Roman" w:hAnsi="Times New Roman"/>
                <w:b/>
                <w:sz w:val="24"/>
                <w:szCs w:val="24"/>
              </w:rPr>
              <w:t xml:space="preserve"> 2020 </w:t>
            </w:r>
            <w:r>
              <w:rPr>
                <w:rFonts w:cs="Times New Roman" w:ascii="Times New Roman" w:hAnsi="Times New Roman"/>
                <w:b/>
                <w:sz w:val="24"/>
                <w:szCs w:val="24"/>
              </w:rPr>
              <w:t xml:space="preserve">года </w:t>
            </w:r>
            <w:r>
              <w:rPr>
                <w:rFonts w:cs="Times New Roman" w:ascii="Times New Roman" w:hAnsi="Times New Roman"/>
                <w:b/>
                <w:sz w:val="24"/>
                <w:szCs w:val="24"/>
              </w:rPr>
              <w:t>в 11 ч. 00 мин.</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b/>
                <w:b/>
              </w:rPr>
            </w:pPr>
            <w:r>
              <w:rPr>
                <w:b/>
              </w:rPr>
              <w:t>5.</w:t>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Style19"/>
              <w:spacing w:lineRule="auto" w:line="276" w:before="0" w:after="0"/>
              <w:jc w:val="both"/>
              <w:rPr>
                <w:b/>
                <w:b/>
              </w:rPr>
            </w:pPr>
            <w:r>
              <w:rPr>
                <w:b/>
              </w:rPr>
              <w:t>Порядок, место и срок предоставления конкурсной документации</w:t>
            </w:r>
          </w:p>
          <w:p>
            <w:pPr>
              <w:pStyle w:val="Normal"/>
              <w:spacing w:lineRule="auto" w:line="276"/>
              <w:ind w:firstLine="540"/>
              <w:jc w:val="both"/>
              <w:rPr>
                <w:b/>
                <w:b/>
              </w:rPr>
            </w:pPr>
            <w:r>
              <w:rPr>
                <w:b/>
              </w:rPr>
            </w:r>
          </w:p>
          <w:p>
            <w:pPr>
              <w:pStyle w:val="Style19"/>
              <w:spacing w:lineRule="auto" w:line="276" w:before="0" w:after="0"/>
              <w:ind w:firstLine="540"/>
              <w:jc w:val="both"/>
              <w:rPr>
                <w:b/>
                <w:b/>
              </w:rPr>
            </w:pPr>
            <w:r>
              <w:rPr>
                <w:b/>
              </w:rPr>
            </w:r>
          </w:p>
          <w:p>
            <w:pPr>
              <w:pStyle w:val="Normal"/>
              <w:shd w:fill="FFFFFF" w:val="clear"/>
              <w:jc w:val="both"/>
              <w:rPr>
                <w:b/>
                <w:b/>
              </w:rPr>
            </w:pPr>
            <w:r>
              <w:rPr>
                <w:b/>
              </w:rPr>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1cl"/>
              <w:spacing w:before="0" w:after="0"/>
              <w:jc w:val="both"/>
              <w:rPr/>
            </w:pPr>
            <w:r>
              <w:rPr/>
              <w:t>Конкурсная документация размещается одновременно с  информационным сообщением на официальном сайте администрации Каслинского муниципального района.</w:t>
            </w:r>
          </w:p>
          <w:p>
            <w:pPr>
              <w:pStyle w:val="Text1cl"/>
              <w:spacing w:before="0" w:after="0"/>
              <w:jc w:val="both"/>
              <w:rPr/>
            </w:pPr>
            <w:r>
              <w:rPr/>
              <w:t xml:space="preserve"> </w:t>
            </w:r>
            <w:r>
              <w:rPr/>
              <w:t>Конкурсная документация предоставляется заинтересованному лицу на основании письменного заявления в течение 2 (Двух) рабочих дней с даты получения заявления в электронном виде либо на бумажном носителе. Плата за предоставление конкурсной документации не взимается.</w:t>
            </w:r>
          </w:p>
          <w:p>
            <w:pPr>
              <w:pStyle w:val="WW"/>
              <w:autoSpaceDE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b/>
                <w:b/>
              </w:rPr>
            </w:pPr>
            <w:r>
              <w:rPr>
                <w:b/>
              </w:rPr>
              <w:t>6.</w:t>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Style19"/>
              <w:spacing w:lineRule="auto" w:line="276" w:before="0" w:after="0"/>
              <w:jc w:val="both"/>
              <w:rPr>
                <w:b/>
                <w:b/>
              </w:rPr>
            </w:pPr>
            <w:r>
              <w:rPr>
                <w:b/>
              </w:rPr>
              <w:t>Порядок предоставления разъяснений положений конкурсной документации</w:t>
            </w:r>
          </w:p>
          <w:p>
            <w:pPr>
              <w:pStyle w:val="Style19"/>
              <w:spacing w:lineRule="auto" w:line="276" w:before="0" w:after="0"/>
              <w:ind w:firstLine="540"/>
              <w:jc w:val="both"/>
              <w:rPr/>
            </w:pPr>
            <w:r>
              <w:rPr/>
              <w:t xml:space="preserve"> </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19"/>
              <w:spacing w:before="0" w:after="0"/>
              <w:ind w:firstLine="720"/>
              <w:jc w:val="both"/>
              <w:rPr/>
            </w:pPr>
            <w:r>
              <w:rPr/>
              <w:t xml:space="preserve">Любой участник конкурсного отбора вправе направить в письменной форме Организатору конкурса запрос о разъяснении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разъяснения положений конкурсной документации, если указанный запрос поступил Организатору конкурса не позднее, чем за пять дней до дня окончания срока подачи заявок на участие в конкурсе. </w:t>
            </w:r>
          </w:p>
          <w:p>
            <w:pPr>
              <w:pStyle w:val="Text1cl"/>
              <w:spacing w:before="0" w:after="0"/>
              <w:ind w:firstLine="720"/>
              <w:jc w:val="both"/>
              <w:rPr/>
            </w:pPr>
            <w:r>
              <w:rPr/>
              <w:t>Разъяснения положений конкурсной документации с приложением содержания запроса без указания заявителя, от которого поступил запрос, размещаются на официальном сайте администрации Каслинского муниципального района  в сети «Интернет».</w:t>
            </w:r>
          </w:p>
          <w:p>
            <w:pPr>
              <w:pStyle w:val="Style19"/>
              <w:spacing w:before="0" w:after="0"/>
              <w:ind w:firstLine="73"/>
              <w:jc w:val="both"/>
              <w:rPr/>
            </w:pPr>
            <w:r>
              <w:rPr/>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b/>
              </w:rPr>
              <w:t>7.</w:t>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b/>
                <w:b/>
              </w:rPr>
            </w:pPr>
            <w:r>
              <w:rPr>
                <w:b/>
              </w:rPr>
              <w:t>Место, дата и время вскрытия конвертов с заявками на участие в открытом конкурсе</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Адрес: 456830, Челябинская область, Каслинский район, город Касли, ул. Ленина, д. 55, каб.22</w:t>
            </w:r>
          </w:p>
          <w:p>
            <w:pPr>
              <w:pStyle w:val="Normal"/>
              <w:jc w:val="both"/>
              <w:rPr/>
            </w:pPr>
            <w:r>
              <w:rPr/>
              <w:t xml:space="preserve">дата: </w:t>
            </w:r>
            <w:r>
              <w:rPr/>
              <w:t>03 июня</w:t>
            </w:r>
            <w:r>
              <w:rPr/>
              <w:t xml:space="preserve"> 2020 года</w:t>
            </w:r>
            <w:r>
              <w:rPr>
                <w:b/>
              </w:rPr>
              <w:t xml:space="preserve"> </w:t>
            </w:r>
          </w:p>
          <w:p>
            <w:pPr>
              <w:pStyle w:val="Normal"/>
              <w:jc w:val="both"/>
              <w:rPr>
                <w:highlight w:val="yellow"/>
              </w:rPr>
            </w:pPr>
            <w:r>
              <w:rPr/>
              <w:t>время: 11:00 часов (местного времени)</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b/>
              </w:rPr>
              <w:t>8.</w:t>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b/>
                <w:b/>
              </w:rPr>
            </w:pPr>
            <w:r>
              <w:rPr>
                <w:b/>
              </w:rPr>
              <w:t>Дата рассмотрения и оценки заявок</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05 июня</w:t>
            </w:r>
            <w:r>
              <w:rPr/>
              <w:t xml:space="preserve"> 2020 года</w:t>
            </w:r>
          </w:p>
        </w:tc>
      </w:tr>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b/>
                <w:b/>
              </w:rPr>
            </w:pPr>
            <w:r>
              <w:rPr>
                <w:b/>
              </w:rPr>
              <w:t>9.</w:t>
            </w:r>
          </w:p>
        </w:tc>
        <w:tc>
          <w:tcPr>
            <w:tcW w:w="400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hd w:fill="FFFFFF" w:val="clear"/>
              <w:jc w:val="both"/>
              <w:rPr>
                <w:b/>
                <w:b/>
              </w:rPr>
            </w:pPr>
            <w:r>
              <w:rPr>
                <w:b/>
              </w:rPr>
              <w:t>Срок, в течение которого победитель конкурса или иной его участник, с которым заключается контракт, должен подписать соглашение</w:t>
            </w:r>
          </w:p>
        </w:tc>
        <w:tc>
          <w:tcPr>
            <w:tcW w:w="58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both"/>
              <w:rPr/>
            </w:pPr>
            <w:r>
              <w:rPr/>
              <w:t xml:space="preserve">Организатор конкурса в течение 5 (Пяти) дней с момента размещения протокола </w:t>
            </w:r>
            <w:r>
              <w:rPr>
                <w:color w:val="000000"/>
              </w:rPr>
              <w:t>рассмотрения и оценки заявок (единственной заявки) на участие в конкурсном отборе направляет победителю конкурсного отбора проект инвестиционного соглашения. Победитель конкурсного отбора подписывает инвестиционное соглашение в течение 5 (Пяти) дней с момента получения проекта инвестиционного соглашения.</w:t>
            </w:r>
          </w:p>
        </w:tc>
      </w:tr>
    </w:tbl>
    <w:p>
      <w:pPr>
        <w:pStyle w:val="Style19"/>
        <w:spacing w:lineRule="auto" w:line="276" w:before="0" w:after="0"/>
        <w:jc w:val="center"/>
        <w:rPr/>
      </w:pPr>
      <w:r>
        <w:rPr/>
      </w:r>
    </w:p>
    <w:p>
      <w:pPr>
        <w:pStyle w:val="Style19"/>
        <w:spacing w:lineRule="auto" w:line="276" w:before="0" w:after="0"/>
        <w:jc w:val="center"/>
        <w:rPr/>
      </w:pPr>
      <w:r>
        <w:rPr/>
      </w:r>
    </w:p>
    <w:p>
      <w:pPr>
        <w:pStyle w:val="Style19"/>
        <w:spacing w:lineRule="auto" w:line="276" w:before="0" w:after="0"/>
        <w:jc w:val="center"/>
        <w:rPr/>
      </w:pPr>
      <w:r>
        <w:rPr/>
        <w:t>2. Существенные условия инвестиционного соглашения</w:t>
      </w:r>
    </w:p>
    <w:p>
      <w:pPr>
        <w:pStyle w:val="Style19"/>
        <w:spacing w:lineRule="auto" w:line="276" w:before="0" w:after="0"/>
        <w:jc w:val="both"/>
        <w:rPr/>
      </w:pPr>
      <w:r>
        <w:rPr/>
      </w:r>
    </w:p>
    <w:p>
      <w:pPr>
        <w:pStyle w:val="Normal"/>
        <w:spacing w:lineRule="auto" w:line="276"/>
        <w:ind w:firstLine="540"/>
        <w:jc w:val="both"/>
        <w:rPr/>
      </w:pPr>
      <w:r>
        <w:rPr/>
        <w:t>2.1.Обязанности Инвестора:</w:t>
      </w:r>
    </w:p>
    <w:p>
      <w:pPr>
        <w:pStyle w:val="Style19"/>
        <w:spacing w:lineRule="auto" w:line="276" w:before="0" w:after="0"/>
        <w:ind w:firstLine="540"/>
        <w:jc w:val="both"/>
        <w:rPr/>
      </w:pPr>
      <w:r>
        <w:rPr/>
        <w:t>1) За счет собственных и (или) привлеченных средств, в том числе, предоставляемых финансирующими организациями, в соответствии с технической документацией, технико-экономическими показателями и характеристиками объекта, осуществить строительство отдельно стоящей газовой котельной,  а также осуществить проектирование и строительство подводящих инженерных сетей к новой газовой котельной, согласно техническим условиям.</w:t>
      </w:r>
    </w:p>
    <w:p>
      <w:pPr>
        <w:pStyle w:val="Normal"/>
        <w:widowControl w:val="false"/>
        <w:numPr>
          <w:ilvl w:val="0"/>
          <w:numId w:val="0"/>
        </w:numPr>
        <w:spacing w:lineRule="auto" w:line="276"/>
        <w:ind w:left="33" w:firstLine="534"/>
        <w:jc w:val="both"/>
        <w:outlineLvl w:val="0"/>
        <w:rPr/>
      </w:pPr>
      <w:r>
        <w:rPr/>
        <w:t xml:space="preserve">2) Осуществить реализацию  инвестиционного соглашения с надлежащим качеством в соответствии с условиями соглашения, техническим заданием на строительство объекта, проектно-сметной документацией по объекту, Федеральным законом </w:t>
      </w:r>
      <w:r>
        <w:rPr>
          <w:color w:val="000000"/>
        </w:rPr>
        <w:t xml:space="preserve">от 21 июля 1997 г. N 116-ФЗ "О промышленной безопасности опасных производственных объектов", Федеральным законом от 27 июля 2010 г. N 190-ФЗ "О теплоснабжении", </w:t>
      </w:r>
      <w:r>
        <w:rPr/>
        <w:t>Постановлением администрации Береговского сельского поселения от 06.07.2018 г. № 10/1 «Об утверждении схем теплоснабжения, водоснабжения и водоотведения Береговского сельского поселения на 2018  – 2033 годы»</w:t>
      </w:r>
      <w:r>
        <w:rPr>
          <w:color w:val="000000"/>
        </w:rPr>
        <w:t xml:space="preserve"> и другими нормативными правовыми актами РФ, Челябинской области. Результат работ должен соответствовать действующему законодательству, в том числе СНиП, ГОСТ, СП, РД и другим</w:t>
      </w:r>
      <w:r>
        <w:rPr/>
        <w:t xml:space="preserve"> нормативным документам на момент ввода объекта в эксплуатацию.</w:t>
      </w:r>
    </w:p>
    <w:p>
      <w:pPr>
        <w:pStyle w:val="Normal"/>
        <w:autoSpaceDE w:val="false"/>
        <w:spacing w:lineRule="auto" w:line="276"/>
        <w:ind w:firstLine="567"/>
        <w:jc w:val="both"/>
        <w:rPr/>
      </w:pPr>
      <w:r>
        <w:rPr/>
        <w:t xml:space="preserve">3) </w:t>
      </w:r>
      <w:r>
        <w:rPr>
          <w:rFonts w:cs="Calibri"/>
        </w:rPr>
        <w:t>Получать в соответствующих органах и организациях необходимые согласования, разрешения, предписания и технические условия на подключение объекта к действующим сетям.</w:t>
      </w:r>
    </w:p>
    <w:p>
      <w:pPr>
        <w:pStyle w:val="Normal"/>
        <w:autoSpaceDE w:val="false"/>
        <w:spacing w:lineRule="auto" w:line="276"/>
        <w:ind w:firstLine="567"/>
        <w:jc w:val="both"/>
        <w:rPr/>
      </w:pPr>
      <w:r>
        <w:rPr/>
        <w:t xml:space="preserve">4) Организовать постоянную деятельность по производству и передаче тепловой энергии  газовой котельной с момента ввода объекта в эксплуатацию постоянно по установленным тарифам в соответствии с законодательством РФ. Осуществлять поддержание объекта в исправном состоянии, отвечающем техническим требованиям и проводить за свой счет текущий и капитальный ремонт объекта, осуществлять расходы по содержанию объекта в течение всего срока эксплуатации. </w:t>
      </w:r>
    </w:p>
    <w:p>
      <w:pPr>
        <w:pStyle w:val="Style19"/>
        <w:spacing w:lineRule="auto" w:line="276" w:before="0" w:after="0"/>
        <w:ind w:firstLine="540"/>
        <w:jc w:val="both"/>
        <w:rPr>
          <w:lang w:eastAsia="ru-RU"/>
        </w:rPr>
      </w:pPr>
      <w:r>
        <w:rPr/>
        <w:t>5) Осуществить страхование (за свой счет) риска утраты или повреждения вновь построенной котельной в течение 60 дней с момента ввода объекта в эксплуатацию, а также страхование (за свой счет) ответственности перед третьими лицами за причинение им вреда в результате эксплуатации котельной н</w:t>
      </w:r>
      <w:r>
        <w:rPr>
          <w:lang w:eastAsia="ru-RU"/>
        </w:rPr>
        <w:t>а условиях и в порядке, которые установлены Федеральным законом</w:t>
      </w:r>
      <w:r>
        <w:rPr/>
        <w:t xml:space="preserve"> о</w:t>
      </w:r>
      <w:r>
        <w:rPr>
          <w:lang w:eastAsia="ru-RU"/>
        </w:rPr>
        <w:t>т 27.07.2010 №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Style19"/>
        <w:spacing w:lineRule="auto" w:line="276" w:before="0" w:after="0"/>
        <w:ind w:firstLine="540"/>
        <w:jc w:val="both"/>
        <w:rPr/>
      </w:pPr>
      <w:r>
        <w:rPr/>
        <w:t>6) Осуществлять доступ представителей Управления строительства и инфраструктуры администрации Каслинского муниципального района и иных лиц, привлеченных Управлением строительства и инфраструктуры администрации Каслинского муниципального района для осуществления проверок реализации инвестиционного проекта на объект, в соответствии с представленным графиком работ.</w:t>
      </w:r>
    </w:p>
    <w:p>
      <w:pPr>
        <w:pStyle w:val="Style19"/>
        <w:spacing w:lineRule="auto" w:line="276" w:before="0" w:after="0"/>
        <w:ind w:firstLine="540"/>
        <w:jc w:val="both"/>
        <w:rPr/>
      </w:pPr>
      <w:r>
        <w:rPr/>
        <w:t>7)  Не позднее 10 дней с момента окончания периода, установленного для сдачи бухгалтерской и налоговой отчетности по итогам отчетного периода, предоставлять в Управление строительства и инфраструктуры администрации Каслинского муниципального района следующие документы:</w:t>
      </w:r>
    </w:p>
    <w:p>
      <w:pPr>
        <w:pStyle w:val="Style19"/>
        <w:spacing w:lineRule="auto" w:line="276" w:before="0" w:after="0"/>
        <w:ind w:firstLine="540"/>
        <w:jc w:val="both"/>
        <w:rPr/>
      </w:pPr>
      <w:r>
        <w:rPr/>
        <w:t>- Отчет о ходе реализации инвестиционного проекта по установленной форме (приложение № 3 к инвестиционному соглашению);</w:t>
      </w:r>
    </w:p>
    <w:p>
      <w:pPr>
        <w:pStyle w:val="Style19"/>
        <w:spacing w:lineRule="auto" w:line="276" w:before="0" w:after="0"/>
        <w:ind w:firstLine="540"/>
        <w:jc w:val="both"/>
        <w:rPr/>
      </w:pPr>
      <w:r>
        <w:rPr/>
        <w:t>- Пояснительную записку о ходе выполнения инвестиционного проекта;</w:t>
      </w:r>
    </w:p>
    <w:p>
      <w:pPr>
        <w:pStyle w:val="Style19"/>
        <w:spacing w:lineRule="auto" w:line="276" w:before="0" w:after="0"/>
        <w:ind w:firstLine="540"/>
        <w:jc w:val="both"/>
        <w:rPr/>
      </w:pPr>
      <w:r>
        <w:rPr/>
        <w:t>- Другие документы, подтверждающие направление использования инвестиций (по требованию).</w:t>
      </w:r>
    </w:p>
    <w:p>
      <w:pPr>
        <w:pStyle w:val="Style19"/>
        <w:spacing w:lineRule="auto" w:line="276" w:before="0" w:after="0"/>
        <w:ind w:firstLine="540"/>
        <w:jc w:val="both"/>
        <w:rPr/>
      </w:pPr>
      <w:r>
        <w:rPr/>
        <w:t>8) В течение 7 (Семи) дней с момента подписания соглашения разработать и согласовать с Управлением строительства и инфраструктуры администрации Каслинского муниципального района график выполнения работ по форме, установленной в приложении № 1 к настоящему соглашению.</w:t>
      </w:r>
    </w:p>
    <w:p>
      <w:pPr>
        <w:pStyle w:val="Style19"/>
        <w:spacing w:lineRule="auto" w:line="276" w:before="0" w:after="0"/>
        <w:ind w:firstLine="540"/>
        <w:jc w:val="both"/>
        <w:rPr/>
      </w:pPr>
      <w:r>
        <w:rPr/>
        <w:t>2.2. Обязанности Управления строительства и инфраструктуры администрации Каслинского муниципального района:</w:t>
      </w:r>
    </w:p>
    <w:p>
      <w:pPr>
        <w:pStyle w:val="Style19"/>
        <w:spacing w:lineRule="auto" w:line="276" w:before="0" w:after="0"/>
        <w:ind w:firstLine="540"/>
        <w:jc w:val="both"/>
        <w:rPr/>
      </w:pPr>
      <w:r>
        <w:rPr/>
        <w:t>1) В течение трех рабочих дней с момента заключения инвестиционного соглашения передать Инвестору всю имеющуюся информацию по объектам, в рамках полномочий Управления строительства и инфраструктуры администрации Каслинского муниципального района.</w:t>
      </w:r>
    </w:p>
    <w:p>
      <w:pPr>
        <w:pStyle w:val="Style19"/>
        <w:spacing w:lineRule="auto" w:line="276" w:before="0" w:after="0"/>
        <w:ind w:firstLine="540"/>
        <w:jc w:val="both"/>
        <w:rPr>
          <w:rFonts w:cs="Calibri"/>
        </w:rPr>
      </w:pPr>
      <w:r>
        <w:rPr>
          <w:rFonts w:cs="Calibri"/>
        </w:rPr>
        <w:t>2) Предоставлять  Инвестору иную документацию, необходимую для выполнения работ по Соглашению (при ее наличии).</w:t>
      </w:r>
    </w:p>
    <w:p>
      <w:pPr>
        <w:pStyle w:val="Style19"/>
        <w:spacing w:lineRule="auto" w:line="276" w:before="0" w:after="0"/>
        <w:ind w:firstLine="540"/>
        <w:jc w:val="both"/>
        <w:rPr/>
      </w:pPr>
      <w:r>
        <w:rPr/>
        <w:t>3) В пределах компетенции и полномочий обеспечить Инвестору необходимое содействие при реализации его прав, установленных настоящим Соглашением.</w:t>
      </w:r>
    </w:p>
    <w:p>
      <w:pPr>
        <w:pStyle w:val="Style19"/>
        <w:spacing w:lineRule="auto" w:line="276" w:before="0" w:after="0"/>
        <w:ind w:firstLine="540"/>
        <w:jc w:val="both"/>
        <w:rPr/>
      </w:pPr>
      <w:r>
        <w:rPr/>
        <w:t>4) Еженедельно осуществлять контроль за реализацией Инвестором инвестиционного проекта с начала проектирования объекта.</w:t>
      </w:r>
    </w:p>
    <w:p>
      <w:pPr>
        <w:pStyle w:val="Style19"/>
        <w:spacing w:lineRule="auto" w:line="276" w:before="0" w:after="0"/>
        <w:ind w:firstLine="540"/>
        <w:jc w:val="both"/>
        <w:rPr/>
      </w:pPr>
      <w:r>
        <w:rPr/>
        <w:t>5) По обращению Инвестора оформить ходатайство о поддержке его инвестиционного проекта.</w:t>
      </w:r>
    </w:p>
    <w:p>
      <w:pPr>
        <w:pStyle w:val="Style19"/>
        <w:spacing w:lineRule="auto" w:line="276" w:before="0" w:after="0"/>
        <w:ind w:firstLine="540"/>
        <w:jc w:val="both"/>
        <w:rPr/>
      </w:pPr>
      <w:r>
        <w:rPr/>
        <w:t xml:space="preserve">6) </w:t>
      </w:r>
      <w:bookmarkStart w:id="0" w:name="_GoBack"/>
      <w:bookmarkEnd w:id="0"/>
      <w:r>
        <w:rPr/>
        <w:t>Предоставить Инвестору для ознакомления схему теплоснабжения за исключением сведений, отнесенных к государственной тайне, в течение 5 (пяти дней) с момента подписания инвестиционного Соглашения.</w:t>
      </w:r>
    </w:p>
    <w:p>
      <w:pPr>
        <w:pStyle w:val="Style19"/>
        <w:spacing w:lineRule="auto" w:line="276" w:before="0" w:after="0"/>
        <w:ind w:firstLine="540"/>
        <w:jc w:val="both"/>
        <w:rPr/>
      </w:pPr>
      <w:r>
        <w:rPr/>
        <w:t>7) Обеспечить предоставление Инвестору в установленном законодательством РФ порядке земельные участки в аренду на период строительства объекта.</w:t>
      </w:r>
    </w:p>
    <w:p>
      <w:pPr>
        <w:pStyle w:val="Style19"/>
        <w:spacing w:lineRule="auto" w:line="276" w:before="0" w:after="0"/>
        <w:ind w:firstLine="540"/>
        <w:jc w:val="both"/>
        <w:rPr/>
      </w:pPr>
      <w:r>
        <w:rPr/>
      </w:r>
    </w:p>
    <w:p>
      <w:pPr>
        <w:pStyle w:val="Style19"/>
        <w:spacing w:lineRule="auto" w:line="276" w:before="0" w:after="0"/>
        <w:jc w:val="center"/>
        <w:rPr/>
      </w:pPr>
      <w:r>
        <w:rPr/>
        <w:t>3. Состав и описание, в том числе технико-экономические показатели объекта инвестиционного соглашения</w:t>
      </w:r>
    </w:p>
    <w:p>
      <w:pPr>
        <w:pStyle w:val="Style19"/>
        <w:spacing w:lineRule="auto" w:line="276" w:before="0" w:after="0"/>
        <w:jc w:val="center"/>
        <w:rPr/>
      </w:pPr>
      <w:r>
        <w:rPr/>
      </w:r>
    </w:p>
    <w:p>
      <w:pPr>
        <w:pStyle w:val="Style19"/>
        <w:spacing w:lineRule="auto" w:line="276" w:before="0" w:after="0"/>
        <w:ind w:firstLine="540"/>
        <w:jc w:val="both"/>
        <w:rPr/>
      </w:pPr>
      <w:r>
        <w:rPr/>
        <w:t>1) Котельная, расположенная по адресу: Челябинская область, Каслинский района, поселок Береговой,  пер. Больничный.</w:t>
      </w:r>
    </w:p>
    <w:p>
      <w:pPr>
        <w:pStyle w:val="Normal"/>
        <w:ind w:left="567" w:hanging="0"/>
        <w:rPr/>
      </w:pPr>
      <w:r>
        <w:rPr/>
        <w:t>Суммарная установленная тепловая мощность котельной - 19,5 т пара/ч или 13,25 Гкал/ч (15,41 МВт).</w:t>
      </w:r>
    </w:p>
    <w:p>
      <w:pPr>
        <w:pStyle w:val="Style19"/>
        <w:spacing w:lineRule="auto" w:line="276" w:before="0" w:after="0"/>
        <w:ind w:firstLine="540"/>
        <w:jc w:val="both"/>
        <w:rPr/>
      </w:pPr>
      <w:r>
        <w:rPr/>
        <w:t xml:space="preserve">Полезная тепловая нагрузка -  </w:t>
      </w:r>
      <w:r>
        <w:rPr>
          <w:bCs/>
          <w:lang w:bidi="ru-RU"/>
        </w:rPr>
        <w:t>8,16 Гкал/ч.</w:t>
      </w:r>
      <w:r>
        <w:rPr/>
        <w:t>, в т.ч. ГВС 1,48 Гкал/ч.;</w:t>
      </w:r>
    </w:p>
    <w:p>
      <w:pPr>
        <w:pStyle w:val="Style19"/>
        <w:spacing w:lineRule="auto" w:line="276" w:before="0" w:after="0"/>
        <w:ind w:firstLine="540"/>
        <w:jc w:val="both"/>
        <w:rPr/>
      </w:pPr>
      <w:r>
        <w:rPr/>
        <w:t>Система теплоснабжения – открытая с перспективой перевода на закрытую систему теплоснабжения в 2022-2025г;</w:t>
      </w:r>
    </w:p>
    <w:p>
      <w:pPr>
        <w:pStyle w:val="Style19"/>
        <w:spacing w:lineRule="auto" w:line="276" w:before="0" w:after="0"/>
        <w:ind w:firstLine="540"/>
        <w:jc w:val="both"/>
        <w:rPr/>
      </w:pPr>
      <w:r>
        <w:rPr/>
        <w:t xml:space="preserve">Параметры теплоносителя: 95-70 </w:t>
      </w:r>
      <w:r>
        <w:rPr>
          <w:vertAlign w:val="superscript"/>
        </w:rPr>
        <w:t>о</w:t>
      </w:r>
      <w:r>
        <w:rPr/>
        <w:t xml:space="preserve"> С – на отопление, вентиляцию и ГВС; </w:t>
      </w:r>
    </w:p>
    <w:p>
      <w:pPr>
        <w:pStyle w:val="Style19"/>
        <w:spacing w:lineRule="auto" w:line="276" w:before="0" w:after="0"/>
        <w:ind w:firstLine="540"/>
        <w:jc w:val="both"/>
        <w:rPr/>
      </w:pPr>
      <w:r>
        <w:rPr/>
        <w:t>Категория надежности отпуска теплоты потребителям – Первая;</w:t>
      </w:r>
    </w:p>
    <w:p>
      <w:pPr>
        <w:pStyle w:val="Style19"/>
        <w:spacing w:lineRule="auto" w:line="276" w:before="0" w:after="0"/>
        <w:ind w:firstLine="540"/>
        <w:jc w:val="both"/>
        <w:rPr/>
      </w:pPr>
      <w:r>
        <w:rPr/>
        <w:t>Котельная по целевому назначению: отопительная, возможность применения блочно-модульной котельной определить проектными решениями;</w:t>
      </w:r>
    </w:p>
    <w:p>
      <w:pPr>
        <w:pStyle w:val="Style19"/>
        <w:spacing w:lineRule="auto" w:line="276" w:before="0" w:after="0"/>
        <w:ind w:firstLine="540"/>
        <w:jc w:val="both"/>
        <w:rPr/>
      </w:pPr>
      <w:r>
        <w:rPr/>
        <w:t>Годовое число часов использования установленной производительности: 8760</w:t>
      </w:r>
    </w:p>
    <w:p>
      <w:pPr>
        <w:pStyle w:val="Style19"/>
        <w:spacing w:lineRule="auto" w:line="276" w:before="0" w:after="0"/>
        <w:ind w:firstLine="540"/>
        <w:jc w:val="both"/>
        <w:rPr/>
      </w:pPr>
      <w:r>
        <w:rPr/>
        <w:t>Срок окончания строительства не позднее «01» июля 2020 года.</w:t>
      </w:r>
    </w:p>
    <w:p>
      <w:pPr>
        <w:pStyle w:val="Style19"/>
        <w:spacing w:lineRule="auto" w:line="276" w:before="0" w:after="0"/>
        <w:ind w:firstLine="540"/>
        <w:jc w:val="both"/>
        <w:rPr/>
      </w:pPr>
      <w:r>
        <w:rPr/>
        <w:t>Срок ввода в эксплуатацию не позднее «01» сентября 2020 года.</w:t>
      </w:r>
    </w:p>
    <w:p>
      <w:pPr>
        <w:pStyle w:val="Style19"/>
        <w:spacing w:lineRule="auto" w:line="276" w:before="0" w:after="0"/>
        <w:ind w:firstLine="540"/>
        <w:jc w:val="both"/>
        <w:rPr>
          <w:color w:val="FF0000"/>
        </w:rPr>
      </w:pPr>
      <w:r>
        <w:rPr/>
        <w:t>2)  С целью реализации настоящего соглашения Инвестор самостоятельно обращается в администрацию Каслинского муниципального района с заявлениями об утверждении схемы расположения земельного участка на кадастровом плане территории и о предоставлении  участка в аренду для проектирования и строительства отдельно стоящей газовой котельной по адресу: Челябинская область, Каслинский района, поселок Береговой,  пер. Больничный.</w:t>
      </w:r>
    </w:p>
    <w:p>
      <w:pPr>
        <w:pStyle w:val="Normal"/>
        <w:spacing w:lineRule="auto" w:line="276"/>
        <w:ind w:firstLine="600"/>
        <w:jc w:val="both"/>
        <w:rPr>
          <w:highlight w:val="yellow"/>
        </w:rPr>
      </w:pPr>
      <w:r>
        <w:rPr/>
        <w:t>3) Действующий тариф на тепловую энергию, поставляемую потребителям поселка Береговой Каслинского муниципального района, составляет – 1265,22 руб./Гкал (без учета НДС).</w:t>
      </w:r>
    </w:p>
    <w:p>
      <w:pPr>
        <w:pStyle w:val="Style19"/>
        <w:spacing w:lineRule="auto" w:line="276" w:before="0" w:after="0"/>
        <w:ind w:firstLine="539"/>
        <w:jc w:val="both"/>
        <w:rPr/>
      </w:pPr>
      <w:r>
        <w:rPr/>
        <w:t>4)  Конечные цены на природный газ, поставляемый потребителям поселка Береговой Каслинского муниципального района по состоянию на 01.10.2019г., составляет - 4954,62 руб./тыс.куб.м. (без учета НДС).</w:t>
      </w:r>
    </w:p>
    <w:p>
      <w:pPr>
        <w:pStyle w:val="Style19"/>
        <w:spacing w:lineRule="auto" w:line="276" w:before="0" w:after="0"/>
        <w:ind w:firstLine="540"/>
        <w:rPr/>
      </w:pPr>
      <w:r>
        <w:rPr/>
        <w:t>5) Инвестиции направляются:</w:t>
      </w:r>
    </w:p>
    <w:p>
      <w:pPr>
        <w:pStyle w:val="Style19"/>
        <w:spacing w:lineRule="auto" w:line="276" w:before="0" w:after="0"/>
        <w:ind w:firstLine="540"/>
        <w:rPr/>
      </w:pPr>
      <w:r>
        <w:rPr/>
        <w:t>- на подготовку необходимой проектно – сметной документации;</w:t>
      </w:r>
    </w:p>
    <w:p>
      <w:pPr>
        <w:pStyle w:val="Style19"/>
        <w:spacing w:lineRule="auto" w:line="276" w:before="0" w:after="0"/>
        <w:ind w:firstLine="540"/>
        <w:jc w:val="both"/>
        <w:rPr/>
      </w:pPr>
      <w:r>
        <w:rPr/>
        <w:t>- на строительство отдельно стоящей газовой котельной, расположенной по адресу: Челябинская область, Каслинский района, поселок Береговой пер. Больничный;</w:t>
      </w:r>
    </w:p>
    <w:p>
      <w:pPr>
        <w:pStyle w:val="Style19"/>
        <w:spacing w:lineRule="auto" w:line="276" w:before="0" w:after="0"/>
        <w:ind w:firstLine="540"/>
        <w:jc w:val="both"/>
        <w:rPr/>
      </w:pPr>
      <w:r>
        <w:rPr/>
        <w:t>- проектирование и строительство подводящих инженерных сетей к новой газовой котельной.</w:t>
      </w:r>
    </w:p>
    <w:p>
      <w:pPr>
        <w:pStyle w:val="Style19"/>
        <w:spacing w:lineRule="auto" w:line="276" w:before="0" w:after="0"/>
        <w:ind w:firstLine="540"/>
        <w:jc w:val="both"/>
        <w:rPr/>
      </w:pPr>
      <w:r>
        <w:rPr/>
        <w:t>6)  Социальная и бюджетная эффективность проекта:</w:t>
      </w:r>
    </w:p>
    <w:p>
      <w:pPr>
        <w:pStyle w:val="Style19"/>
        <w:spacing w:lineRule="auto" w:line="276" w:before="0" w:after="0"/>
        <w:rPr/>
      </w:pPr>
      <w:r>
        <w:rPr/>
        <w:t>В результате реализации проекта предусмотрено создание  не менее 3 (Трех) рабочих мест.</w:t>
      </w:r>
    </w:p>
    <w:p>
      <w:pPr>
        <w:pStyle w:val="Style19"/>
        <w:spacing w:lineRule="auto" w:line="276" w:before="0" w:after="0"/>
        <w:rPr/>
      </w:pPr>
      <w:r>
        <w:rPr/>
      </w:r>
    </w:p>
    <w:p>
      <w:pPr>
        <w:pStyle w:val="Style19"/>
        <w:spacing w:lineRule="auto" w:line="276" w:before="0" w:after="0"/>
        <w:jc w:val="center"/>
        <w:rPr/>
      </w:pPr>
      <w:r>
        <w:rPr/>
        <w:t>4. Требования к участникам конкурсного отбора</w:t>
      </w:r>
    </w:p>
    <w:p>
      <w:pPr>
        <w:pStyle w:val="Style19"/>
        <w:spacing w:lineRule="auto" w:line="276" w:before="0" w:after="0"/>
        <w:jc w:val="both"/>
        <w:rPr/>
      </w:pPr>
      <w:r>
        <w:rPr/>
      </w:r>
    </w:p>
    <w:p>
      <w:pPr>
        <w:pStyle w:val="Style19"/>
        <w:spacing w:lineRule="auto" w:line="276" w:before="0" w:after="0"/>
        <w:ind w:firstLine="540"/>
        <w:jc w:val="both"/>
        <w:rPr/>
      </w:pPr>
      <w:r>
        <w:rPr/>
        <w:t xml:space="preserve">4.1. </w:t>
      </w:r>
      <w:r>
        <w:rPr>
          <w:color w:val="000000"/>
        </w:rPr>
        <w:t xml:space="preserve">Участниками конкурсного отбора </w:t>
      </w:r>
      <w:r>
        <w:rPr/>
        <w:t>могут быть физические лица – индивидуальные предприниматели и юридические лица, создаваемые на основе договора о совместной деятельности и не имеющие статуса юридического лица объединения юридических лиц,  а также иностранные субъекты предпринимательской деятельности (далее – иностранные инвесторы</w:t>
      </w:r>
      <w:r>
        <w:rPr>
          <w:color w:val="333333"/>
        </w:rPr>
        <w:t xml:space="preserve">) </w:t>
      </w:r>
      <w:r>
        <w:rPr>
          <w:color w:val="000000"/>
        </w:rPr>
        <w:t>независимо от организационно-правовой формы, формы собственности, места нахождения и места происхождения капитала. Участники конкурсного отбора имеют право вступать в отношения с Организатором конкурса как непосредственно, так и через своих представителей. Полномочия представителей участников конкурсного отбора подтверждаются доверенностью, выданной и оформленной в соответствии с гражданским законодательством РФ, или ее нотариально заверенной копией</w:t>
      </w:r>
    </w:p>
    <w:p>
      <w:pPr>
        <w:pStyle w:val="Style19"/>
        <w:spacing w:lineRule="auto" w:line="276" w:before="0" w:after="0"/>
        <w:ind w:firstLine="540"/>
        <w:jc w:val="both"/>
        <w:rPr>
          <w:color w:val="000000"/>
        </w:rPr>
      </w:pPr>
      <w:r>
        <w:rPr>
          <w:color w:val="000000"/>
        </w:rPr>
        <w:t>4.2. К участникам конкурсного отбора устанавливаются следующие обязательные требования:</w:t>
      </w:r>
    </w:p>
    <w:p>
      <w:pPr>
        <w:pStyle w:val="Normal"/>
        <w:spacing w:lineRule="auto" w:line="276"/>
        <w:ind w:firstLine="540"/>
        <w:jc w:val="both"/>
        <w:rPr/>
      </w:pPr>
      <w:r>
        <w:rPr/>
        <w:t>1) непроведение ликвидации участника конкурса и отсутствие решения арбитражного суда о признании участника конкурса банкротом и об открытии конкурсного производства;</w:t>
      </w:r>
    </w:p>
    <w:p>
      <w:pPr>
        <w:pStyle w:val="Normal"/>
        <w:tabs>
          <w:tab w:val="left" w:pos="851" w:leader="none"/>
        </w:tabs>
        <w:spacing w:lineRule="auto" w:line="276"/>
        <w:ind w:firstLine="540"/>
        <w:jc w:val="both"/>
        <w:rPr/>
      </w:pPr>
      <w:r>
        <w:rPr/>
        <w:t>2)</w:t>
        <w:tab/>
        <w:t>неприостановление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pPr>
        <w:pStyle w:val="Normal"/>
        <w:tabs>
          <w:tab w:val="left" w:pos="851" w:leader="none"/>
        </w:tabs>
        <w:spacing w:lineRule="auto" w:line="276"/>
        <w:ind w:firstLine="540"/>
        <w:jc w:val="both"/>
        <w:rPr>
          <w:color w:val="000000"/>
        </w:rPr>
      </w:pPr>
      <w:r>
        <w:rPr/>
        <w:t>3)</w:t>
        <w:tab/>
        <w:t xml:space="preserve">отсутствие у участника конкурсного отбора задолженности по начисленным налогам, сборам и иным обязательным платежам в бюджеты любого уровня за прошедший календарный год, размер которой превышает двадцать пять процентов балансовой стоимости активов участника конкурсного отбора по данным бухгалтерской отчетности за последний завершенный отчетный период. Участник конкурсного отбора  предоставляет справку об отсутствии задолженности </w:t>
      </w:r>
      <w:r>
        <w:rPr>
          <w:color w:val="000000"/>
        </w:rPr>
        <w:t xml:space="preserve">по платежам в бюджет либо </w:t>
      </w:r>
      <w:r>
        <w:rPr/>
        <w:t>Акт сверки по всем платежам, выданные налоговым органом на последнюю отчетную дату и отражающего начисленные и уплаченные суммы налогов и сборов. Участник конкурсного отбора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w:t>
      </w:r>
    </w:p>
    <w:p>
      <w:pPr>
        <w:pStyle w:val="3"/>
        <w:spacing w:lineRule="auto" w:line="276"/>
        <w:ind w:left="0" w:firstLine="539"/>
        <w:rPr>
          <w:color w:val="000000"/>
          <w:szCs w:val="24"/>
        </w:rPr>
      </w:pPr>
      <w:r>
        <w:rPr>
          <w:color w:val="000000"/>
          <w:szCs w:val="24"/>
        </w:rPr>
        <w:t>4) соответствие требованиям, предъявляемым законодательством Российской Федерации к лицам, осуществляющим выполнение работ на территории Российской Федерации,  являющихся предметом конкурсного отбора, в том числе:</w:t>
      </w:r>
    </w:p>
    <w:p>
      <w:pPr>
        <w:pStyle w:val="3"/>
        <w:spacing w:lineRule="auto" w:line="276"/>
        <w:ind w:left="0" w:firstLine="539"/>
        <w:rPr>
          <w:color w:val="000000"/>
          <w:szCs w:val="24"/>
        </w:rPr>
      </w:pPr>
      <w:r>
        <w:rPr>
          <w:color w:val="000000"/>
          <w:szCs w:val="24"/>
        </w:rPr>
        <w:t>- наличие действующих лицензий/разрешения на выполнение работ по предмету конкурсного отбора (если указанная деятельность подлежит лицензированию);</w:t>
      </w:r>
    </w:p>
    <w:p>
      <w:pPr>
        <w:pStyle w:val="3"/>
        <w:spacing w:lineRule="auto" w:line="276"/>
        <w:ind w:left="0" w:firstLine="539"/>
        <w:rPr>
          <w:color w:val="000000"/>
          <w:szCs w:val="24"/>
        </w:rPr>
      </w:pPr>
      <w:r>
        <w:rPr>
          <w:color w:val="000000"/>
          <w:szCs w:val="24"/>
        </w:rPr>
        <w:t xml:space="preserve">- наличие действующего </w:t>
      </w:r>
      <w:r>
        <w:rPr>
          <w:szCs w:val="24"/>
        </w:rPr>
        <w:t>свидетельства саморегулируемой организации</w:t>
      </w:r>
      <w:r>
        <w:rPr>
          <w:color w:val="000000"/>
          <w:szCs w:val="24"/>
        </w:rPr>
        <w:t xml:space="preserve"> </w:t>
      </w:r>
      <w:r>
        <w:rPr>
          <w:szCs w:val="24"/>
        </w:rPr>
        <w:t>о допуске к работам, которые оказывают влияние на безопасность объектов капитального строительства (при необходимости);</w:t>
      </w:r>
    </w:p>
    <w:p>
      <w:pPr>
        <w:pStyle w:val="ConsPlusNormal"/>
        <w:ind w:firstLine="600"/>
        <w:jc w:val="both"/>
        <w:rPr>
          <w:rFonts w:ascii="Times New Roman" w:hAnsi="Times New Roman" w:cs="Times New Roman"/>
          <w:color w:val="008000"/>
          <w:sz w:val="24"/>
          <w:szCs w:val="24"/>
        </w:rPr>
      </w:pPr>
      <w:r>
        <w:rPr>
          <w:rFonts w:cs="Times New Roman" w:ascii="Times New Roman" w:hAnsi="Times New Roman"/>
          <w:sz w:val="24"/>
          <w:szCs w:val="24"/>
        </w:rPr>
        <w:t>5)</w:t>
      </w:r>
      <w:r>
        <w:rPr>
          <w:rFonts w:cs="Times New Roman" w:ascii="Times New Roman" w:hAnsi="Times New Roman"/>
          <w:color w:val="333333"/>
          <w:sz w:val="24"/>
          <w:szCs w:val="24"/>
        </w:rPr>
        <w:t xml:space="preserve"> о</w:t>
      </w:r>
      <w:r>
        <w:rPr>
          <w:rFonts w:cs="Times New Roman" w:ascii="Times New Roman" w:hAnsi="Times New Roman"/>
          <w:sz w:val="24"/>
          <w:szCs w:val="24"/>
        </w:rPr>
        <w:t xml:space="preserve">тсутствие в реестре недобросовестных поставщиков (подрядчиков, исполнителей), предусмотренного Федеральным законом от 05.04.2013г. № 44-ФЗ «О контрактной системе в сфере закупок товаров, работ, услуг для обеспечения государственных и муниципальных нужд», Федеральным законом </w:t>
      </w:r>
      <w:r>
        <w:rPr>
          <w:rFonts w:cs="Times New Roman" w:ascii="Times New Roman" w:hAnsi="Times New Roman"/>
          <w:sz w:val="24"/>
          <w:szCs w:val="24"/>
          <w:lang w:eastAsia="ru-RU"/>
        </w:rPr>
        <w:t xml:space="preserve">от 18.07.2011 № 223-ФЗ «О закупках товаров, работ, услуг отдельными видами юридических лиц» </w:t>
      </w:r>
      <w:r>
        <w:rPr>
          <w:rFonts w:cs="Times New Roman" w:ascii="Times New Roman" w:hAnsi="Times New Roman"/>
          <w:sz w:val="24"/>
          <w:szCs w:val="24"/>
        </w:rPr>
        <w:t xml:space="preserve"> информации об участнике конкурсного отбора,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конкурса – юридического лица.</w:t>
      </w:r>
    </w:p>
    <w:p>
      <w:pPr>
        <w:pStyle w:val="Style19"/>
        <w:spacing w:lineRule="auto" w:line="276" w:before="0" w:after="0"/>
        <w:ind w:firstLine="540"/>
        <w:jc w:val="both"/>
        <w:rPr>
          <w:rFonts w:ascii="Times New Roman" w:hAnsi="Times New Roman" w:cs="Times New Roman"/>
          <w:color w:val="008000"/>
          <w:sz w:val="24"/>
          <w:szCs w:val="24"/>
        </w:rPr>
      </w:pPr>
      <w:r>
        <w:rPr>
          <w:rFonts w:cs="Times New Roman"/>
          <w:color w:val="008000"/>
          <w:sz w:val="24"/>
          <w:szCs w:val="24"/>
        </w:rPr>
      </w:r>
    </w:p>
    <w:p>
      <w:pPr>
        <w:pStyle w:val="Style19"/>
        <w:spacing w:lineRule="auto" w:line="276" w:before="0" w:after="0"/>
        <w:jc w:val="center"/>
        <w:rPr>
          <w:color w:val="008000"/>
        </w:rPr>
      </w:pPr>
      <w:r>
        <w:rPr/>
        <w:t>5. Критерии конкурсного отбора</w:t>
      </w:r>
    </w:p>
    <w:p>
      <w:pPr>
        <w:pStyle w:val="Normal"/>
        <w:spacing w:lineRule="auto" w:line="276"/>
        <w:jc w:val="both"/>
        <w:rPr>
          <w:color w:val="008000"/>
        </w:rPr>
      </w:pPr>
      <w:r>
        <w:rPr>
          <w:color w:val="008000"/>
        </w:rPr>
      </w:r>
    </w:p>
    <w:p>
      <w:pPr>
        <w:pStyle w:val="Normal"/>
        <w:spacing w:lineRule="auto" w:line="276"/>
        <w:ind w:firstLine="540"/>
        <w:jc w:val="both"/>
        <w:rPr/>
      </w:pPr>
      <w:r>
        <w:rPr/>
        <w:t>5.1. Критериями конкурсного отбора являются.</w:t>
      </w:r>
    </w:p>
    <w:tbl>
      <w:tblPr>
        <w:tblW w:w="9967" w:type="dxa"/>
        <w:jc w:val="left"/>
        <w:tblInd w:w="55" w:type="dxa"/>
        <w:tblBorders>
          <w:top w:val="single" w:sz="2" w:space="0" w:color="000000"/>
          <w:left w:val="single" w:sz="2" w:space="0" w:color="000000"/>
          <w:bottom w:val="single" w:sz="2" w:space="0" w:color="000000"/>
          <w:insideH w:val="single" w:sz="2" w:space="0" w:color="000000"/>
        </w:tblBorders>
        <w:tblCellMar>
          <w:top w:w="55" w:type="dxa"/>
          <w:left w:w="52" w:type="dxa"/>
          <w:bottom w:w="55" w:type="dxa"/>
          <w:right w:w="55" w:type="dxa"/>
        </w:tblCellMar>
      </w:tblPr>
      <w:tblGrid>
        <w:gridCol w:w="4980"/>
        <w:gridCol w:w="4987"/>
      </w:tblGrid>
      <w:tr>
        <w:trPr/>
        <w:tc>
          <w:tcPr>
            <w:tcW w:w="4980" w:type="dxa"/>
            <w:tcBorders>
              <w:top w:val="single" w:sz="2" w:space="0" w:color="000000"/>
              <w:left w:val="single" w:sz="2" w:space="0" w:color="000000"/>
              <w:bottom w:val="single" w:sz="2" w:space="0" w:color="000000"/>
              <w:insideH w:val="single" w:sz="2" w:space="0" w:color="000000"/>
            </w:tcBorders>
            <w:shd w:fill="auto" w:val="clear"/>
            <w:tcMar>
              <w:left w:w="52" w:type="dxa"/>
            </w:tcMar>
          </w:tcPr>
          <w:p>
            <w:pPr>
              <w:pStyle w:val="Normal"/>
              <w:snapToGrid w:val="false"/>
              <w:spacing w:lineRule="atLeast" w:line="200"/>
              <w:ind w:left="87" w:hanging="0"/>
              <w:jc w:val="both"/>
              <w:rPr>
                <w:color w:val="000000"/>
              </w:rPr>
            </w:pPr>
            <w:r>
              <w:rPr>
                <w:color w:val="000000"/>
              </w:rPr>
              <w:t>Критерии конкурсного отбора</w:t>
            </w:r>
          </w:p>
        </w:tc>
        <w:tc>
          <w:tcPr>
            <w:tcW w:w="498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Количество баллов</w:t>
            </w:r>
          </w:p>
        </w:tc>
      </w:tr>
      <w:tr>
        <w:trPr/>
        <w:tc>
          <w:tcPr>
            <w:tcW w:w="4980" w:type="dxa"/>
            <w:tcBorders>
              <w:top w:val="single" w:sz="2" w:space="0" w:color="000000"/>
              <w:left w:val="single" w:sz="2" w:space="0" w:color="000000"/>
              <w:bottom w:val="single" w:sz="2" w:space="0" w:color="000000"/>
              <w:insideH w:val="single" w:sz="2" w:space="0" w:color="000000"/>
            </w:tcBorders>
            <w:shd w:fill="auto" w:val="clear"/>
            <w:tcMar>
              <w:left w:w="52" w:type="dxa"/>
            </w:tcMar>
          </w:tcPr>
          <w:p>
            <w:pPr>
              <w:pStyle w:val="Normal"/>
              <w:snapToGrid w:val="false"/>
              <w:spacing w:lineRule="atLeast" w:line="200"/>
              <w:ind w:left="87" w:hanging="0"/>
              <w:jc w:val="both"/>
              <w:rPr>
                <w:color w:val="000000"/>
              </w:rPr>
            </w:pPr>
            <w:r>
              <w:rPr>
                <w:color w:val="000000"/>
              </w:rPr>
              <w:t>Опыт участника конкурсного отбора в  реализации инвестиционных проектов</w:t>
            </w:r>
          </w:p>
        </w:tc>
        <w:tc>
          <w:tcPr>
            <w:tcW w:w="498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От 0 до 20 баллов.</w:t>
            </w:r>
          </w:p>
          <w:p>
            <w:pPr>
              <w:pStyle w:val="Normal"/>
              <w:snapToGrid w:val="false"/>
              <w:spacing w:lineRule="atLeast" w:line="200"/>
              <w:ind w:left="210" w:hanging="0"/>
              <w:jc w:val="both"/>
              <w:rPr>
                <w:b/>
                <w:b/>
                <w:color w:val="000000"/>
              </w:rPr>
            </w:pPr>
            <w:r>
              <w:rPr>
                <w:b/>
                <w:color w:val="000000"/>
              </w:rPr>
              <w:t>Критерии оценки:</w:t>
            </w:r>
          </w:p>
          <w:p>
            <w:pPr>
              <w:pStyle w:val="Style19"/>
              <w:spacing w:before="0" w:after="0"/>
              <w:rPr/>
            </w:pPr>
            <w:r>
              <w:rPr/>
              <w:t>За каждый успешно реализованный проект - 10 баллов;</w:t>
            </w:r>
          </w:p>
          <w:p>
            <w:pPr>
              <w:pStyle w:val="Style19"/>
              <w:spacing w:before="0" w:after="0"/>
              <w:rPr/>
            </w:pPr>
            <w:r>
              <w:rPr/>
              <w:t>За каждый проект, находящийся на стадии завершения - 5 баллов;</w:t>
            </w:r>
          </w:p>
          <w:p>
            <w:pPr>
              <w:pStyle w:val="Normal"/>
              <w:snapToGrid w:val="false"/>
              <w:spacing w:lineRule="atLeast" w:line="200"/>
              <w:ind w:left="210" w:hanging="0"/>
              <w:jc w:val="both"/>
              <w:rPr>
                <w:color w:val="000000"/>
              </w:rPr>
            </w:pPr>
            <w:r>
              <w:rPr/>
              <w:t>За отсутствие реализованных проектов – 0 баллов.</w:t>
            </w:r>
          </w:p>
        </w:tc>
      </w:tr>
      <w:tr>
        <w:trPr/>
        <w:tc>
          <w:tcPr>
            <w:tcW w:w="4980" w:type="dxa"/>
            <w:tcBorders>
              <w:top w:val="single" w:sz="2" w:space="0" w:color="000000"/>
              <w:left w:val="single" w:sz="2" w:space="0" w:color="000000"/>
              <w:bottom w:val="single" w:sz="2" w:space="0" w:color="000000"/>
              <w:insideH w:val="single" w:sz="2" w:space="0" w:color="000000"/>
            </w:tcBorders>
            <w:shd w:fill="auto" w:val="clear"/>
            <w:tcMar>
              <w:left w:w="52" w:type="dxa"/>
            </w:tcMar>
          </w:tcPr>
          <w:p>
            <w:pPr>
              <w:pStyle w:val="Normal"/>
              <w:snapToGrid w:val="false"/>
              <w:spacing w:lineRule="atLeast" w:line="200"/>
              <w:ind w:left="87" w:hanging="0"/>
              <w:jc w:val="both"/>
              <w:rPr>
                <w:color w:val="000000"/>
              </w:rPr>
            </w:pPr>
            <w:r>
              <w:rPr>
                <w:color w:val="000000"/>
              </w:rPr>
              <w:t>Опыт участника конкурсного отбора в финансировании инвестиционных проектов</w:t>
            </w:r>
          </w:p>
        </w:tc>
        <w:tc>
          <w:tcPr>
            <w:tcW w:w="498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1 балл</w:t>
            </w:r>
          </w:p>
          <w:p>
            <w:pPr>
              <w:pStyle w:val="Normal"/>
              <w:snapToGrid w:val="false"/>
              <w:spacing w:lineRule="atLeast" w:line="200"/>
              <w:ind w:left="210" w:hanging="0"/>
              <w:jc w:val="both"/>
              <w:rPr>
                <w:b/>
                <w:b/>
                <w:color w:val="000000"/>
              </w:rPr>
            </w:pPr>
            <w:r>
              <w:rPr>
                <w:b/>
                <w:color w:val="000000"/>
              </w:rPr>
              <w:t>Критерии оценки:</w:t>
            </w:r>
          </w:p>
          <w:p>
            <w:pPr>
              <w:pStyle w:val="Normal"/>
              <w:snapToGrid w:val="false"/>
              <w:spacing w:lineRule="atLeast" w:line="200"/>
              <w:ind w:left="210" w:hanging="0"/>
              <w:jc w:val="both"/>
              <w:rPr>
                <w:color w:val="000000"/>
              </w:rPr>
            </w:pPr>
            <w:r>
              <w:rPr>
                <w:color w:val="000000"/>
              </w:rPr>
              <w:t>За каждые 500 тыс. рублей инвестированные в реализованные проекты – 1 балл.</w:t>
            </w:r>
          </w:p>
        </w:tc>
      </w:tr>
      <w:tr>
        <w:trPr/>
        <w:tc>
          <w:tcPr>
            <w:tcW w:w="4980" w:type="dxa"/>
            <w:tcBorders>
              <w:top w:val="single" w:sz="2" w:space="0" w:color="000000"/>
              <w:left w:val="single" w:sz="2" w:space="0" w:color="000000"/>
              <w:bottom w:val="single" w:sz="2" w:space="0" w:color="000000"/>
              <w:insideH w:val="single" w:sz="2" w:space="0" w:color="000000"/>
            </w:tcBorders>
            <w:shd w:fill="auto" w:val="clear"/>
            <w:tcMar>
              <w:left w:w="52" w:type="dxa"/>
            </w:tcMar>
          </w:tcPr>
          <w:p>
            <w:pPr>
              <w:pStyle w:val="Normal"/>
              <w:snapToGrid w:val="false"/>
              <w:spacing w:lineRule="atLeast" w:line="200"/>
              <w:ind w:left="87" w:hanging="0"/>
              <w:jc w:val="both"/>
              <w:rPr/>
            </w:pPr>
            <w:r>
              <w:rPr>
                <w:color w:val="000000"/>
              </w:rPr>
              <w:t>Наличие финансовых средств на реализацию инвестиционного соглашения</w:t>
            </w:r>
          </w:p>
        </w:tc>
        <w:tc>
          <w:tcPr>
            <w:tcW w:w="498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От 0 до 10 баллов.</w:t>
            </w:r>
          </w:p>
          <w:p>
            <w:pPr>
              <w:pStyle w:val="Normal"/>
              <w:snapToGrid w:val="false"/>
              <w:spacing w:lineRule="atLeast" w:line="200"/>
              <w:ind w:left="210" w:hanging="0"/>
              <w:jc w:val="both"/>
              <w:rPr>
                <w:b/>
                <w:b/>
                <w:color w:val="000000"/>
              </w:rPr>
            </w:pPr>
            <w:r>
              <w:rPr>
                <w:b/>
                <w:color w:val="000000"/>
              </w:rPr>
              <w:t>Критерии оценки:</w:t>
            </w:r>
          </w:p>
          <w:p>
            <w:pPr>
              <w:pStyle w:val="Normal"/>
              <w:snapToGrid w:val="false"/>
              <w:spacing w:lineRule="atLeast" w:line="200"/>
              <w:ind w:left="210" w:hanging="0"/>
              <w:jc w:val="both"/>
              <w:rPr>
                <w:color w:val="000000"/>
              </w:rPr>
            </w:pPr>
            <w:r>
              <w:rPr>
                <w:color w:val="000000"/>
              </w:rPr>
              <w:t>Наличие финансовых средств на расчетном счете либо кредитного договора в размере:</w:t>
            </w:r>
          </w:p>
          <w:p>
            <w:pPr>
              <w:pStyle w:val="Normal"/>
              <w:snapToGrid w:val="false"/>
              <w:spacing w:lineRule="atLeast" w:line="200"/>
              <w:ind w:left="210" w:hanging="0"/>
              <w:jc w:val="both"/>
              <w:rPr/>
            </w:pPr>
            <w:r>
              <w:rPr>
                <w:color w:val="000000"/>
              </w:rPr>
              <w:t>300 млн. руб. – 10 баллов;</w:t>
            </w:r>
          </w:p>
          <w:p>
            <w:pPr>
              <w:pStyle w:val="Normal"/>
              <w:snapToGrid w:val="false"/>
              <w:spacing w:lineRule="atLeast" w:line="200"/>
              <w:ind w:left="210" w:hanging="0"/>
              <w:jc w:val="both"/>
              <w:rPr/>
            </w:pPr>
            <w:r>
              <w:rPr>
                <w:color w:val="000000"/>
              </w:rPr>
              <w:t>Менее 300 млн. руб. – 0 баллов;</w:t>
            </w:r>
          </w:p>
          <w:p>
            <w:pPr>
              <w:pStyle w:val="Normal"/>
              <w:snapToGrid w:val="false"/>
              <w:spacing w:lineRule="atLeast" w:line="200"/>
              <w:ind w:left="210" w:hanging="0"/>
              <w:jc w:val="both"/>
              <w:rPr>
                <w:color w:val="000000"/>
              </w:rPr>
            </w:pPr>
            <w:r>
              <w:rPr>
                <w:color w:val="000000"/>
              </w:rPr>
              <w:t>За  каждые дополнительные 10 млн. руб. присваивается 5 баллов.</w:t>
            </w:r>
          </w:p>
        </w:tc>
      </w:tr>
      <w:tr>
        <w:trPr/>
        <w:tc>
          <w:tcPr>
            <w:tcW w:w="4980" w:type="dxa"/>
            <w:tcBorders>
              <w:top w:val="single" w:sz="2" w:space="0" w:color="000000"/>
              <w:left w:val="single" w:sz="2" w:space="0" w:color="000000"/>
              <w:bottom w:val="single" w:sz="2" w:space="0" w:color="000000"/>
              <w:insideH w:val="single" w:sz="2" w:space="0" w:color="000000"/>
            </w:tcBorders>
            <w:shd w:fill="auto" w:val="clear"/>
            <w:tcMar>
              <w:left w:w="52" w:type="dxa"/>
            </w:tcMar>
          </w:tcPr>
          <w:p>
            <w:pPr>
              <w:pStyle w:val="Normal"/>
              <w:snapToGrid w:val="false"/>
              <w:spacing w:lineRule="atLeast" w:line="200"/>
              <w:ind w:left="87" w:hanging="0"/>
              <w:jc w:val="both"/>
              <w:rPr>
                <w:color w:val="000000"/>
              </w:rPr>
            </w:pPr>
            <w:r>
              <w:rPr/>
              <w:t>Отсутствие у участника конкурсного отбора задолженности по начисленным налогам, сборам и иным обязательным платежам в бюджеты любого уровня.</w:t>
            </w:r>
          </w:p>
        </w:tc>
        <w:tc>
          <w:tcPr>
            <w:tcW w:w="498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От 0 до 10 баллов.</w:t>
            </w:r>
          </w:p>
          <w:p>
            <w:pPr>
              <w:pStyle w:val="Normal"/>
              <w:snapToGrid w:val="false"/>
              <w:spacing w:lineRule="atLeast" w:line="200"/>
              <w:ind w:left="210" w:hanging="0"/>
              <w:jc w:val="both"/>
              <w:rPr>
                <w:b/>
                <w:b/>
                <w:color w:val="000000"/>
              </w:rPr>
            </w:pPr>
            <w:r>
              <w:rPr>
                <w:b/>
                <w:color w:val="000000"/>
              </w:rPr>
              <w:t>Критерии оценки:*</w:t>
            </w:r>
          </w:p>
          <w:p>
            <w:pPr>
              <w:pStyle w:val="Normal"/>
              <w:snapToGrid w:val="false"/>
              <w:spacing w:lineRule="atLeast" w:line="200"/>
              <w:ind w:left="210" w:hanging="0"/>
              <w:jc w:val="both"/>
              <w:rPr>
                <w:color w:val="000000"/>
              </w:rPr>
            </w:pPr>
            <w:r>
              <w:rPr>
                <w:color w:val="000000"/>
              </w:rPr>
              <w:t>Задолженность отсутствует 10 баллов</w:t>
            </w:r>
          </w:p>
          <w:p>
            <w:pPr>
              <w:pStyle w:val="Normal"/>
              <w:snapToGrid w:val="false"/>
              <w:spacing w:lineRule="atLeast" w:line="200"/>
              <w:ind w:left="210" w:hanging="0"/>
              <w:jc w:val="both"/>
              <w:rPr>
                <w:color w:val="000000"/>
              </w:rPr>
            </w:pPr>
            <w:r>
              <w:rPr>
                <w:color w:val="000000"/>
              </w:rPr>
              <w:t>Имеется задолженность 0 баллов</w:t>
            </w:r>
          </w:p>
          <w:p>
            <w:pPr>
              <w:pStyle w:val="Normal"/>
              <w:snapToGrid w:val="false"/>
              <w:spacing w:lineRule="atLeast" w:line="200"/>
              <w:ind w:left="210" w:hanging="0"/>
              <w:jc w:val="both"/>
              <w:rPr>
                <w:color w:val="000000"/>
              </w:rPr>
            </w:pPr>
            <w:r>
              <w:rPr>
                <w:color w:val="000000"/>
              </w:rPr>
            </w:r>
          </w:p>
          <w:p>
            <w:pPr>
              <w:pStyle w:val="Normal"/>
              <w:snapToGrid w:val="false"/>
              <w:spacing w:lineRule="atLeast" w:line="200"/>
              <w:ind w:left="210" w:hanging="0"/>
              <w:jc w:val="both"/>
              <w:rPr>
                <w:color w:val="000000"/>
                <w:sz w:val="22"/>
                <w:szCs w:val="22"/>
              </w:rPr>
            </w:pPr>
            <w:r>
              <w:rPr>
                <w:color w:val="000000"/>
                <w:sz w:val="22"/>
                <w:szCs w:val="22"/>
              </w:rPr>
              <w:t>* При применении данного критерия наличие текущей задолженности не учитывается.</w:t>
            </w:r>
          </w:p>
        </w:tc>
      </w:tr>
      <w:tr>
        <w:trPr/>
        <w:tc>
          <w:tcPr>
            <w:tcW w:w="4980" w:type="dxa"/>
            <w:tcBorders>
              <w:top w:val="single" w:sz="2" w:space="0" w:color="000000"/>
              <w:left w:val="single" w:sz="2" w:space="0" w:color="000000"/>
              <w:bottom w:val="single" w:sz="2" w:space="0" w:color="000000"/>
              <w:insideH w:val="single" w:sz="2" w:space="0" w:color="000000"/>
            </w:tcBorders>
            <w:shd w:fill="auto" w:val="clear"/>
            <w:tcMar>
              <w:left w:w="52" w:type="dxa"/>
            </w:tcMar>
          </w:tcPr>
          <w:p>
            <w:pPr>
              <w:pStyle w:val="Normal"/>
              <w:snapToGrid w:val="false"/>
              <w:spacing w:lineRule="atLeast" w:line="200"/>
              <w:ind w:left="87" w:hanging="0"/>
              <w:jc w:val="both"/>
              <w:rPr/>
            </w:pPr>
            <w:r>
              <w:rPr/>
              <w:t>Наличие отмеченных достижений в сфере инвестиционной деятельности</w:t>
            </w:r>
          </w:p>
        </w:tc>
        <w:tc>
          <w:tcPr>
            <w:tcW w:w="498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От 0 до 10 баллов</w:t>
            </w:r>
          </w:p>
          <w:p>
            <w:pPr>
              <w:pStyle w:val="Normal"/>
              <w:snapToGrid w:val="false"/>
              <w:spacing w:lineRule="atLeast" w:line="200"/>
              <w:ind w:left="210" w:hanging="0"/>
              <w:jc w:val="both"/>
              <w:rPr>
                <w:b/>
                <w:b/>
                <w:color w:val="000000"/>
              </w:rPr>
            </w:pPr>
            <w:r>
              <w:rPr>
                <w:b/>
                <w:color w:val="000000"/>
              </w:rPr>
              <w:t>Критерии оценки:</w:t>
            </w:r>
          </w:p>
          <w:p>
            <w:pPr>
              <w:pStyle w:val="Normal"/>
              <w:snapToGrid w:val="false"/>
              <w:spacing w:lineRule="atLeast" w:line="200"/>
              <w:ind w:left="210" w:hanging="0"/>
              <w:jc w:val="both"/>
              <w:rPr/>
            </w:pPr>
            <w:r>
              <w:rPr>
                <w:color w:val="000000"/>
              </w:rPr>
              <w:t>При наличии отмеченных достижений (благодарственных писем, дипломов, грамот и.т.д.) – 10 баллов</w:t>
            </w:r>
          </w:p>
          <w:p>
            <w:pPr>
              <w:pStyle w:val="Normal"/>
              <w:snapToGrid w:val="false"/>
              <w:spacing w:lineRule="atLeast" w:line="200"/>
              <w:ind w:left="210" w:hanging="0"/>
              <w:jc w:val="both"/>
              <w:rPr>
                <w:color w:val="000000"/>
              </w:rPr>
            </w:pPr>
            <w:r>
              <w:rPr>
                <w:color w:val="000000"/>
              </w:rPr>
              <w:t>При отсутствии отмеченных достижений – 0 баллов</w:t>
            </w:r>
          </w:p>
          <w:p>
            <w:pPr>
              <w:pStyle w:val="Normal"/>
              <w:snapToGrid w:val="false"/>
              <w:spacing w:lineRule="atLeast" w:line="200"/>
              <w:ind w:left="210" w:hanging="0"/>
              <w:jc w:val="both"/>
              <w:rPr>
                <w:color w:val="000000"/>
              </w:rPr>
            </w:pPr>
            <w:r>
              <w:rPr>
                <w:color w:val="000000"/>
              </w:rPr>
            </w:r>
          </w:p>
        </w:tc>
      </w:tr>
      <w:tr>
        <w:trPr/>
        <w:tc>
          <w:tcPr>
            <w:tcW w:w="4980" w:type="dxa"/>
            <w:tcBorders>
              <w:top w:val="single" w:sz="2" w:space="0" w:color="000000"/>
              <w:left w:val="single" w:sz="2" w:space="0" w:color="000000"/>
              <w:bottom w:val="single" w:sz="2" w:space="0" w:color="000000"/>
              <w:insideH w:val="single" w:sz="2" w:space="0" w:color="000000"/>
            </w:tcBorders>
            <w:shd w:fill="auto" w:val="clear"/>
            <w:tcMar>
              <w:left w:w="52" w:type="dxa"/>
            </w:tcMar>
          </w:tcPr>
          <w:p>
            <w:pPr>
              <w:pStyle w:val="Normal"/>
              <w:snapToGrid w:val="false"/>
              <w:spacing w:lineRule="atLeast" w:line="200"/>
              <w:ind w:left="87" w:hanging="0"/>
              <w:jc w:val="both"/>
              <w:rPr>
                <w:color w:val="000000"/>
              </w:rPr>
            </w:pPr>
            <w:r>
              <w:rPr>
                <w:color w:val="000000"/>
              </w:rPr>
              <w:t>Срок реализации инвестиционного соглашения</w:t>
            </w:r>
          </w:p>
        </w:tc>
        <w:tc>
          <w:tcPr>
            <w:tcW w:w="498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От 0 до 10 баллов</w:t>
            </w:r>
          </w:p>
          <w:p>
            <w:pPr>
              <w:pStyle w:val="Normal"/>
              <w:snapToGrid w:val="false"/>
              <w:spacing w:lineRule="atLeast" w:line="200"/>
              <w:ind w:left="210" w:hanging="0"/>
              <w:jc w:val="both"/>
              <w:rPr>
                <w:b/>
                <w:b/>
                <w:color w:val="000000"/>
              </w:rPr>
            </w:pPr>
            <w:r>
              <w:rPr>
                <w:b/>
                <w:color w:val="000000"/>
              </w:rPr>
              <w:t>Критерии оценки:</w:t>
            </w:r>
          </w:p>
          <w:p>
            <w:pPr>
              <w:pStyle w:val="Normal"/>
              <w:snapToGrid w:val="false"/>
              <w:spacing w:lineRule="atLeast" w:line="200"/>
              <w:ind w:left="210" w:hanging="0"/>
              <w:jc w:val="both"/>
              <w:rPr>
                <w:color w:val="000000"/>
              </w:rPr>
            </w:pPr>
            <w:r>
              <w:rPr>
                <w:color w:val="000000"/>
              </w:rPr>
              <w:t>В установленный срок 10 баллов</w:t>
            </w:r>
          </w:p>
          <w:p>
            <w:pPr>
              <w:pStyle w:val="Normal"/>
              <w:snapToGrid w:val="false"/>
              <w:spacing w:lineRule="atLeast" w:line="200"/>
              <w:ind w:left="210" w:hanging="0"/>
              <w:jc w:val="both"/>
              <w:rPr>
                <w:color w:val="000000"/>
              </w:rPr>
            </w:pPr>
            <w:r>
              <w:rPr>
                <w:color w:val="000000"/>
              </w:rPr>
              <w:t>За каждый месяц сверхустановленного срока количество баллов снижается на 1 балл.</w:t>
            </w:r>
          </w:p>
        </w:tc>
      </w:tr>
      <w:tr>
        <w:trPr/>
        <w:tc>
          <w:tcPr>
            <w:tcW w:w="4980" w:type="dxa"/>
            <w:tcBorders>
              <w:top w:val="single" w:sz="2" w:space="0" w:color="000000"/>
              <w:left w:val="single" w:sz="2" w:space="0" w:color="000000"/>
              <w:bottom w:val="single" w:sz="4" w:space="0" w:color="000000"/>
              <w:insideH w:val="single" w:sz="4" w:space="0" w:color="000000"/>
            </w:tcBorders>
            <w:shd w:fill="auto" w:val="clear"/>
            <w:tcMar>
              <w:left w:w="52" w:type="dxa"/>
            </w:tcMar>
          </w:tcPr>
          <w:p>
            <w:pPr>
              <w:pStyle w:val="Normal"/>
              <w:snapToGrid w:val="false"/>
              <w:spacing w:lineRule="atLeast" w:line="200"/>
              <w:ind w:left="87" w:hanging="0"/>
              <w:jc w:val="both"/>
              <w:rPr>
                <w:color w:val="000000"/>
              </w:rPr>
            </w:pPr>
            <w:r>
              <w:rPr>
                <w:color w:val="000000"/>
              </w:rPr>
              <w:t>Стоимость производства и передачи 1 Гкал тепловой энергии с периодом окупаемости инвестиционного капитала 10 лет (без учета НДС)</w:t>
            </w:r>
          </w:p>
        </w:tc>
        <w:tc>
          <w:tcPr>
            <w:tcW w:w="4987" w:type="dxa"/>
            <w:tcBorders>
              <w:top w:val="single" w:sz="2" w:space="0" w:color="000000"/>
              <w:left w:val="single" w:sz="2" w:space="0" w:color="000000"/>
              <w:bottom w:val="single" w:sz="4" w:space="0" w:color="000000"/>
              <w:right w:val="single" w:sz="2" w:space="0" w:color="000000"/>
              <w:insideH w:val="single" w:sz="4" w:space="0" w:color="000000"/>
              <w:insideV w:val="single" w:sz="2" w:space="0" w:color="000000"/>
            </w:tcBorders>
            <w:shd w:fill="auto" w:val="clear"/>
            <w:tcMar>
              <w:left w:w="52" w:type="dxa"/>
            </w:tcMar>
          </w:tcPr>
          <w:p>
            <w:pPr>
              <w:pStyle w:val="Normal"/>
              <w:snapToGrid w:val="false"/>
              <w:spacing w:lineRule="atLeast" w:line="200"/>
              <w:ind w:left="210" w:hanging="0"/>
              <w:jc w:val="both"/>
              <w:rPr>
                <w:color w:val="000000"/>
              </w:rPr>
            </w:pPr>
            <w:r>
              <w:rPr>
                <w:color w:val="000000"/>
              </w:rPr>
              <w:t>От 0 до 10 баллов</w:t>
            </w:r>
          </w:p>
          <w:p>
            <w:pPr>
              <w:pStyle w:val="Normal"/>
              <w:snapToGrid w:val="false"/>
              <w:spacing w:lineRule="atLeast" w:line="200"/>
              <w:ind w:left="210" w:hanging="0"/>
              <w:jc w:val="both"/>
              <w:rPr>
                <w:color w:val="000000"/>
              </w:rPr>
            </w:pPr>
            <w:r>
              <w:rPr>
                <w:color w:val="000000"/>
              </w:rPr>
              <w:t>Критерии оценки:</w:t>
            </w:r>
          </w:p>
          <w:p>
            <w:pPr>
              <w:pStyle w:val="Normal"/>
              <w:snapToGrid w:val="false"/>
              <w:spacing w:lineRule="atLeast" w:line="200"/>
              <w:ind w:left="210" w:hanging="0"/>
              <w:jc w:val="both"/>
              <w:rPr/>
            </w:pPr>
            <w:r>
              <w:rPr>
                <w:color w:val="000000"/>
              </w:rPr>
              <w:t>Более 1400 руб/Гкал- 0 баллов</w:t>
            </w:r>
          </w:p>
          <w:p>
            <w:pPr>
              <w:pStyle w:val="Normal"/>
              <w:snapToGrid w:val="false"/>
              <w:spacing w:lineRule="atLeast" w:line="200"/>
              <w:ind w:left="210" w:hanging="0"/>
              <w:jc w:val="both"/>
              <w:rPr>
                <w:color w:val="000000"/>
              </w:rPr>
            </w:pPr>
            <w:r>
              <w:rPr>
                <w:color w:val="000000"/>
              </w:rPr>
              <w:t>От 1260 до 1400 руб./Гкал – 5 баллов</w:t>
            </w:r>
          </w:p>
          <w:p>
            <w:pPr>
              <w:pStyle w:val="Normal"/>
              <w:snapToGrid w:val="false"/>
              <w:spacing w:lineRule="atLeast" w:line="200"/>
              <w:ind w:left="210" w:hanging="0"/>
              <w:jc w:val="both"/>
              <w:rPr>
                <w:color w:val="000000"/>
              </w:rPr>
            </w:pPr>
            <w:r>
              <w:rPr>
                <w:color w:val="000000"/>
              </w:rPr>
              <w:t>Менее 1260 руб./Гкал-10 баллов</w:t>
            </w:r>
          </w:p>
        </w:tc>
      </w:tr>
    </w:tbl>
    <w:p>
      <w:pPr>
        <w:pStyle w:val="Style19"/>
        <w:spacing w:lineRule="auto" w:line="276" w:before="0" w:after="0"/>
        <w:ind w:firstLine="567"/>
        <w:jc w:val="center"/>
        <w:rPr/>
      </w:pPr>
      <w:r>
        <w:rPr/>
      </w:r>
    </w:p>
    <w:p>
      <w:pPr>
        <w:pStyle w:val="Style19"/>
        <w:spacing w:lineRule="auto" w:line="276" w:before="0" w:after="0"/>
        <w:ind w:firstLine="567"/>
        <w:jc w:val="center"/>
        <w:rPr/>
      </w:pPr>
      <w:r>
        <w:rPr/>
        <w:t xml:space="preserve">6. Форма и порядок представления заявок на участие в конкурсе </w:t>
      </w:r>
    </w:p>
    <w:p>
      <w:pPr>
        <w:pStyle w:val="Style19"/>
        <w:spacing w:lineRule="auto" w:line="276" w:before="0" w:after="0"/>
        <w:ind w:firstLine="567"/>
        <w:jc w:val="both"/>
        <w:rPr/>
      </w:pPr>
      <w:r>
        <w:rPr/>
      </w:r>
    </w:p>
    <w:p>
      <w:pPr>
        <w:pStyle w:val="Normal"/>
        <w:spacing w:lineRule="auto" w:line="276"/>
        <w:ind w:firstLine="567"/>
        <w:jc w:val="both"/>
        <w:rPr/>
      </w:pPr>
      <w:r>
        <w:rPr/>
        <w:t xml:space="preserve">6.1. Для участия в конкурсном отборе Участник конкурса подает в </w:t>
      </w:r>
      <w:r>
        <w:rPr>
          <w:b/>
          <w:i/>
          <w:u w:val="single"/>
        </w:rPr>
        <w:t>письменной форме</w:t>
      </w:r>
      <w:r>
        <w:rPr/>
        <w:t xml:space="preserve"> заявку  на участие в конкурсном отборе и документы, установленные настоящей документацией в запечатанном конверте, не  позволяющем просматривать его содержание до вскрытия по адресу: 456830, Челябинская область, Каслинский район, город Касли, ул. Ленина, д. 55.</w:t>
      </w:r>
    </w:p>
    <w:p>
      <w:pPr>
        <w:pStyle w:val="Normal"/>
        <w:spacing w:lineRule="auto" w:line="276"/>
        <w:ind w:firstLine="567"/>
        <w:jc w:val="both"/>
        <w:rPr>
          <w:color w:val="000000"/>
        </w:rPr>
      </w:pPr>
      <w:r>
        <w:rPr>
          <w:color w:val="000000"/>
        </w:rPr>
        <w:t>Участник конкурса вправе подать только одну заявку на участие в конкурсе.</w:t>
      </w:r>
    </w:p>
    <w:p>
      <w:pPr>
        <w:pStyle w:val="Text3cl"/>
        <w:spacing w:before="0" w:after="0"/>
        <w:ind w:firstLine="720"/>
        <w:jc w:val="both"/>
        <w:rPr/>
      </w:pPr>
      <w:r>
        <w:rPr/>
        <w:t xml:space="preserve"> </w:t>
      </w:r>
      <w:r>
        <w:rPr/>
        <w:t>При этом на конверте указывается:</w:t>
      </w:r>
    </w:p>
    <w:p>
      <w:pPr>
        <w:pStyle w:val="Text3cl"/>
        <w:spacing w:before="0" w:after="0"/>
        <w:ind w:firstLine="720"/>
        <w:jc w:val="both"/>
        <w:rPr/>
      </w:pPr>
      <w:r>
        <w:rPr/>
        <w:t>1) Фраза: «Заявка на участие в конкурсном отборе»;</w:t>
      </w:r>
    </w:p>
    <w:p>
      <w:pPr>
        <w:pStyle w:val="Text3cl"/>
        <w:spacing w:before="0" w:after="0"/>
        <w:ind w:firstLine="720"/>
        <w:jc w:val="both"/>
        <w:rPr/>
      </w:pPr>
      <w:r>
        <w:rPr/>
        <w:t>2) Наименование конкурсного отбора;</w:t>
      </w:r>
    </w:p>
    <w:p>
      <w:pPr>
        <w:pStyle w:val="Text3cl"/>
        <w:spacing w:before="0" w:after="0"/>
        <w:ind w:firstLine="720"/>
        <w:jc w:val="both"/>
        <w:rPr/>
      </w:pPr>
      <w:r>
        <w:rPr/>
        <w:t>3) Дата и время вскрытия конвертов.</w:t>
      </w:r>
    </w:p>
    <w:p>
      <w:pPr>
        <w:pStyle w:val="Text3cl"/>
        <w:spacing w:before="0" w:after="0"/>
        <w:ind w:firstLine="720"/>
        <w:jc w:val="both"/>
        <w:rPr/>
      </w:pPr>
      <w:r>
        <w:rPr/>
        <w:t xml:space="preserve">По желанию участника конкурсного отбора на конверте могут быть указаны наименование и адрес участника. </w:t>
      </w:r>
    </w:p>
    <w:p>
      <w:pPr>
        <w:pStyle w:val="Text3cl"/>
        <w:spacing w:before="0" w:after="0"/>
        <w:ind w:firstLine="720"/>
        <w:jc w:val="both"/>
        <w:rPr/>
      </w:pPr>
      <w:r>
        <w:rPr/>
        <w:t>6.2. Участник конкурсного отбора  предоставляет следующую информацию и  документы:</w:t>
      </w:r>
    </w:p>
    <w:p>
      <w:pPr>
        <w:pStyle w:val="ConsPlusNormal"/>
        <w:spacing w:lineRule="auto" w:line="276"/>
        <w:ind w:firstLine="567"/>
        <w:jc w:val="both"/>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 Заявку на участие в конкурсном отборе, по форме, установленной в  приложении № 1 конкурсной документации;</w:t>
      </w:r>
    </w:p>
    <w:p>
      <w:pPr>
        <w:pStyle w:val="Normal"/>
        <w:rPr/>
      </w:pPr>
      <w:r>
        <w:rPr/>
        <w:tab/>
        <w:t>- анкету участника конкурсного отбора, по форме, установленной в приложении № 2 к конкурсной документации;</w:t>
      </w:r>
    </w:p>
    <w:p>
      <w:pPr>
        <w:pStyle w:val="Normal"/>
        <w:tabs>
          <w:tab w:val="left" w:pos="993" w:leader="none"/>
        </w:tabs>
        <w:spacing w:lineRule="auto" w:line="276"/>
        <w:ind w:firstLine="709"/>
        <w:jc w:val="both"/>
        <w:rPr/>
      </w:pPr>
      <w:r>
        <w:rPr>
          <w:color w:val="000000"/>
        </w:rPr>
        <w:t>- выписку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выписку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на официальном сайте администрации Каслинского муниципального района в сети «Интернет» извещения о проведении конкурсного отбора;</w:t>
      </w:r>
    </w:p>
    <w:p>
      <w:pPr>
        <w:pStyle w:val="Normal"/>
        <w:tabs>
          <w:tab w:val="left" w:pos="993" w:leader="none"/>
        </w:tabs>
        <w:spacing w:lineRule="auto" w:line="276"/>
        <w:ind w:firstLine="709"/>
        <w:jc w:val="both"/>
        <w:rPr>
          <w:color w:val="000000"/>
        </w:rPr>
      </w:pPr>
      <w:r>
        <w:rPr>
          <w:color w:val="000000"/>
        </w:rPr>
        <w:t>- документ, подтверждающий полномочия лица на осуществление действий от имени участника конкурсного отбора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(руководитель). В случае если от имени участника конкурсного отбора действует иное лицо, заявка на участие в конкурсном отборе должна содержать доверенность на совершение действий от имени участника конкурсного отбора, заверенную печатью участника конкурса и подписанную руководителем или уполномоченным руководителем лицом;</w:t>
      </w:r>
    </w:p>
    <w:p>
      <w:pPr>
        <w:pStyle w:val="Normal"/>
        <w:tabs>
          <w:tab w:val="left" w:pos="993" w:leader="none"/>
        </w:tabs>
        <w:spacing w:lineRule="auto" w:line="276"/>
        <w:ind w:firstLine="709"/>
        <w:jc w:val="both"/>
        <w:rPr>
          <w:color w:val="000000"/>
        </w:rPr>
      </w:pPr>
      <w:r>
        <w:rPr>
          <w:color w:val="000000"/>
        </w:rPr>
        <w:t>- заверенные копии учредительных документов участника конкурсного отбора - для юридического лица, заверенная копия договора простого товарищества – для действующих без образования юридического лица двух и более указанных юридических лиц;</w:t>
      </w:r>
    </w:p>
    <w:p>
      <w:pPr>
        <w:pStyle w:val="Normal"/>
        <w:tabs>
          <w:tab w:val="left" w:pos="993" w:leader="none"/>
        </w:tabs>
        <w:spacing w:lineRule="auto" w:line="276"/>
        <w:ind w:firstLine="709"/>
        <w:jc w:val="both"/>
        <w:rPr/>
      </w:pPr>
      <w:r>
        <w:rPr>
          <w:color w:val="000000"/>
        </w:rPr>
        <w:t>- копия, документа, удостоверяющего личность  физического лица, индивидуального предпринимателя (руководителя юридического лица), заверенная печатью индивидуального предпринимателя (юридического лица);</w:t>
      </w:r>
    </w:p>
    <w:p>
      <w:pPr>
        <w:pStyle w:val="Normal"/>
        <w:tabs>
          <w:tab w:val="left" w:pos="993" w:leader="none"/>
        </w:tabs>
        <w:spacing w:lineRule="auto" w:line="276"/>
        <w:ind w:firstLine="709"/>
        <w:jc w:val="both"/>
        <w:rPr/>
      </w:pPr>
      <w:r>
        <w:rPr>
          <w:color w:val="000000"/>
        </w:rPr>
        <w:t>- справку об отсутствии задолженности по платежам в бюджет и внебюджетные фонды на дату подачи заявки на участие в конкурсном отборе либо</w:t>
      </w:r>
      <w:r>
        <w:rPr/>
        <w:t xml:space="preserve"> Акт сверки по всем платежам, выданные налоговым органом на последнюю отчетную дату</w:t>
      </w:r>
      <w:r>
        <w:rPr>
          <w:color w:val="000000"/>
        </w:rPr>
        <w:t>;</w:t>
      </w:r>
    </w:p>
    <w:p>
      <w:pPr>
        <w:pStyle w:val="Normal"/>
        <w:tabs>
          <w:tab w:val="left" w:pos="993" w:leader="none"/>
        </w:tabs>
        <w:spacing w:lineRule="auto" w:line="276"/>
        <w:ind w:firstLine="709"/>
        <w:jc w:val="both"/>
        <w:rPr/>
      </w:pPr>
      <w:r>
        <w:rPr>
          <w:color w:val="000000"/>
        </w:rPr>
        <w:t xml:space="preserve">- копию лицензии/разрешения (если указанная деятельность подлежит лицензированию), </w:t>
      </w:r>
      <w:r>
        <w:rPr/>
        <w:t>действующего свидетельства саморегулируемой организации</w:t>
      </w:r>
      <w:r>
        <w:rPr>
          <w:color w:val="000000"/>
        </w:rPr>
        <w:t xml:space="preserve"> </w:t>
      </w:r>
      <w:r>
        <w:rPr/>
        <w:t xml:space="preserve">о допуске к работам, которые оказывают влияние на безопасность объектов капитального строительства (при необходимости) </w:t>
      </w:r>
      <w:r>
        <w:rPr>
          <w:color w:val="000000"/>
        </w:rPr>
        <w:t>или иного документа, удостоверяющего право участника осуществлять данный вид деятельности;</w:t>
      </w:r>
    </w:p>
    <w:p>
      <w:pPr>
        <w:pStyle w:val="Normal"/>
        <w:tabs>
          <w:tab w:val="left" w:pos="993" w:leader="none"/>
        </w:tabs>
        <w:spacing w:lineRule="auto" w:line="276"/>
        <w:ind w:firstLine="709"/>
        <w:jc w:val="both"/>
        <w:rPr>
          <w:color w:val="000000"/>
        </w:rPr>
      </w:pPr>
      <w:r>
        <w:rPr>
          <w:color w:val="000000"/>
        </w:rPr>
        <w:t>- копию выписки с расчетного счета или справку банка или иной кредитной организации с указанием максимально возможной суммы кредита, необходимой для реализации инвестиционного соглашения (иного документа, его заменяющего), подтверждающего наличие финансовых средств.</w:t>
      </w:r>
    </w:p>
    <w:p>
      <w:pPr>
        <w:pStyle w:val="Style19"/>
        <w:spacing w:lineRule="auto" w:line="276" w:before="0" w:after="0"/>
        <w:ind w:firstLine="567"/>
        <w:jc w:val="both"/>
        <w:rPr/>
      </w:pPr>
      <w:r>
        <w:rPr/>
        <w:t xml:space="preserve">- копии договоров, контрактов, соглашений по ранее реализованным инвестиционным проектам, реализуемым в настоящее время (при наличии таковых). </w:t>
      </w:r>
    </w:p>
    <w:p>
      <w:pPr>
        <w:pStyle w:val="Style19"/>
        <w:spacing w:lineRule="auto" w:line="276" w:before="0" w:after="0"/>
        <w:ind w:firstLine="567"/>
        <w:jc w:val="both"/>
        <w:rPr/>
      </w:pPr>
      <w:r>
        <w:rPr/>
        <w:t>- копии дипломов, благодарственных писем, грамот и.т.д., подтверждающих достижения в сфере инвестиционной деятельности (при наличии таковых).</w:t>
      </w:r>
    </w:p>
    <w:p>
      <w:pPr>
        <w:pStyle w:val="ConsPlusNormal"/>
        <w:ind w:firstLine="540"/>
        <w:jc w:val="both"/>
        <w:rPr/>
      </w:pPr>
      <w:r>
        <w:rPr>
          <w:sz w:val="24"/>
          <w:szCs w:val="24"/>
        </w:rPr>
        <w:t xml:space="preserve">- </w:t>
      </w:r>
      <w:r>
        <w:rPr>
          <w:rFonts w:cs="Times New Roman" w:ascii="Times New Roman" w:hAnsi="Times New Roman"/>
          <w:sz w:val="24"/>
          <w:szCs w:val="24"/>
        </w:rPr>
        <w:t>решение об одобрении или о совершении крупной сделки, либо копия данного решения, если требование о необходимости наличия данного решения для совершения крупной сделки установлено</w:t>
      </w:r>
      <w:r>
        <w:rPr>
          <w:sz w:val="24"/>
          <w:szCs w:val="24"/>
        </w:rPr>
        <w:t xml:space="preserve"> </w:t>
      </w:r>
      <w:r>
        <w:rPr>
          <w:rFonts w:cs="Times New Roman" w:ascii="Times New Roman" w:hAnsi="Times New Roman"/>
          <w:sz w:val="24"/>
          <w:szCs w:val="24"/>
        </w:rPr>
        <w:t>федеральными законами и иными нормативными правовыми актами Российской Федерации и (или) учредительными документами юридического лица и для участника конкурсного отбора заключаемое инвестиционное соглашение является крупной сделкой.</w:t>
      </w:r>
    </w:p>
    <w:p>
      <w:pPr>
        <w:pStyle w:val="Style19"/>
        <w:spacing w:lineRule="auto" w:line="276" w:before="0" w:after="0"/>
        <w:ind w:firstLine="567"/>
        <w:jc w:val="both"/>
        <w:rPr>
          <w:color w:val="000000"/>
        </w:rPr>
      </w:pPr>
      <w:r>
        <w:rPr>
          <w:color w:val="000000"/>
        </w:rPr>
        <w:t>Все листы поданной в письменной форме заявки на участие в конкурсном отборе должны быть прошиты и пронумерованы. Заявка должна содержать опись входящих в ее состав документов, быть скреплена печатью (при наличии)  участника конкурсного отбора и подписана участником конкурсного отбора или лицом, уполномоченным участником конкурсного отбора. Соблюдение участником конкурсного отбора указанных требований означает, что информация и документы, входящие в состав заявки на участие в конкурсном отборе, поданы от имени участника конкурсного отбора и он несет ответственность за подлинность и достоверность этих информации и документов. При этом ненадлежащее исполнение участником конкурсного отбора требования о том, что все листы такой заявки должны быть пронумерованы, не является основанием для отказа в допуске к участию в конкурсе.</w:t>
      </w:r>
    </w:p>
    <w:p>
      <w:pPr>
        <w:pStyle w:val="Style19"/>
        <w:spacing w:lineRule="auto" w:line="276" w:before="0" w:after="0"/>
        <w:ind w:firstLine="567"/>
        <w:jc w:val="both"/>
        <w:rPr>
          <w:color w:val="000000"/>
        </w:rPr>
      </w:pPr>
      <w:r>
        <w:rPr>
          <w:color w:val="000000"/>
        </w:rPr>
        <w:t>6.3. Прием заявок завершается непосредственно перед вскрытием конвертов на участие в конкурсном отборе.</w:t>
      </w:r>
    </w:p>
    <w:p>
      <w:pPr>
        <w:pStyle w:val="Style19"/>
        <w:spacing w:lineRule="auto" w:line="276" w:before="0" w:after="0"/>
        <w:ind w:firstLine="567"/>
        <w:jc w:val="both"/>
        <w:rPr/>
      </w:pPr>
      <w:r>
        <w:rPr/>
        <w:t>Участник конкурсного отбора вправе изменить или отозвать свою заявку на участие в конкурсном отборе в любое время до истечения срока представления  Организатору конкурса заявок на участие в конкурсом отборе.</w:t>
      </w:r>
    </w:p>
    <w:p>
      <w:pPr>
        <w:pStyle w:val="Style19"/>
        <w:spacing w:lineRule="auto" w:line="276" w:before="0" w:after="0"/>
        <w:ind w:firstLine="567"/>
        <w:jc w:val="both"/>
        <w:rPr/>
      </w:pPr>
      <w:r>
        <w:rPr/>
        <w:t>Все поступившие заявки регистрируются организатором конкурса.</w:t>
      </w:r>
    </w:p>
    <w:p>
      <w:pPr>
        <w:pStyle w:val="Text3cl"/>
        <w:spacing w:before="0" w:after="0"/>
        <w:jc w:val="both"/>
        <w:rPr/>
      </w:pPr>
      <w:r>
        <w:rPr/>
      </w:r>
    </w:p>
    <w:p>
      <w:pPr>
        <w:pStyle w:val="Text3cl"/>
        <w:spacing w:before="0" w:after="0"/>
        <w:jc w:val="both"/>
        <w:rPr/>
      </w:pPr>
      <w:r>
        <w:rPr/>
      </w:r>
    </w:p>
    <w:p>
      <w:pPr>
        <w:pStyle w:val="Text3cl"/>
        <w:spacing w:before="0" w:after="0"/>
        <w:jc w:val="both"/>
        <w:rPr/>
      </w:pPr>
      <w:r>
        <w:rPr/>
      </w:r>
    </w:p>
    <w:p>
      <w:pPr>
        <w:pStyle w:val="Text3cl"/>
        <w:spacing w:before="0" w:after="0"/>
        <w:jc w:val="center"/>
        <w:rPr/>
      </w:pPr>
      <w:r>
        <w:rPr/>
        <w:t>7. Порядок вскрытия конвертов на участие в конкурсном отборе</w:t>
      </w:r>
    </w:p>
    <w:p>
      <w:pPr>
        <w:pStyle w:val="Text3cl"/>
        <w:spacing w:before="0" w:after="0"/>
        <w:jc w:val="both"/>
        <w:rPr/>
      </w:pPr>
      <w:r>
        <w:rPr/>
      </w:r>
    </w:p>
    <w:p>
      <w:pPr>
        <w:pStyle w:val="Text3cl"/>
        <w:spacing w:before="0" w:after="0"/>
        <w:ind w:firstLine="600"/>
        <w:jc w:val="both"/>
        <w:rPr>
          <w:color w:val="FF0000"/>
        </w:rPr>
      </w:pPr>
      <w:r>
        <w:rPr/>
        <w:t>7.1. Конверты с заявками на участие в конкурсном отборе вскрываются на заседании комиссии по отбору инвестора для реализации мероприятий по строительству отдельно стоящей газовой котельной, предназначенных для теплоснабжения поселка Береговой Каслинского муниципального района (далее  - комиссия по отбору инвестора) в течение одного рабочего дня со дня окончания срока подачи заявок.</w:t>
      </w:r>
    </w:p>
    <w:p>
      <w:pPr>
        <w:pStyle w:val="Text3cl"/>
        <w:spacing w:before="0" w:after="0"/>
        <w:ind w:firstLine="600"/>
        <w:jc w:val="both"/>
        <w:rPr/>
      </w:pPr>
      <w:r>
        <w:rPr/>
        <w:t>7.2. Вскрытие конвертов оформляется протоколом, в котором отражается: наименование (Фамилия Имя Отчество) и место нахождения (место жительства) каждого заявителя, конверт которого с заявкой на участие в конкурсном отборе вскрывается, а также сведения о наличии (отсутствии) в этой заявке документов, предоставление которых заявителем предусмотрено конкурсной документацией. Указанный протокол размещается на официальном сайте администрации Каслинского муниципального района в сети «Интернет» в течение одного рабочего дня после вскрытия конвертов.</w:t>
      </w:r>
    </w:p>
    <w:p>
      <w:pPr>
        <w:pStyle w:val="Text3cl"/>
        <w:spacing w:before="0" w:after="0"/>
        <w:ind w:firstLine="600"/>
        <w:jc w:val="both"/>
        <w:rPr/>
      </w:pPr>
      <w:r>
        <w:rPr/>
        <w:t>7.3. Вскрытию подлежат все конверты с заявками на участие в конкурсном отборе, представленные в комиссию по отбору инвестора.</w:t>
      </w:r>
    </w:p>
    <w:p>
      <w:pPr>
        <w:pStyle w:val="Text3cl"/>
        <w:spacing w:before="0" w:after="0"/>
        <w:ind w:firstLine="600"/>
        <w:jc w:val="both"/>
        <w:rPr/>
      </w:pPr>
      <w:r>
        <w:rPr/>
        <w:t>7.4. К участию в конкурсном отборе не допускаются заявители, не соответствующие требованиям к участнику конкурсного отбора, указанным в конкурсной документации, представившие недостоверные сведения, а также заявители подавшие заявку не соответствующую требованиям, указанным в конкурсной документации или предоставившие неполный пакет документов, установленный конкурсной документацией.</w:t>
      </w:r>
    </w:p>
    <w:p>
      <w:pPr>
        <w:pStyle w:val="Style19"/>
        <w:spacing w:lineRule="auto" w:line="276" w:before="0" w:after="0"/>
        <w:ind w:firstLine="567"/>
        <w:jc w:val="both"/>
        <w:rPr/>
      </w:pPr>
      <w:r>
        <w:rPr/>
      </w:r>
    </w:p>
    <w:p>
      <w:pPr>
        <w:pStyle w:val="Style19"/>
        <w:spacing w:lineRule="auto" w:line="276" w:before="0" w:after="0"/>
        <w:jc w:val="both"/>
        <w:rPr/>
      </w:pPr>
      <w:r>
        <w:rPr/>
      </w:r>
    </w:p>
    <w:p>
      <w:pPr>
        <w:pStyle w:val="Style19"/>
        <w:spacing w:before="0" w:after="0"/>
        <w:ind w:firstLine="540"/>
        <w:jc w:val="center"/>
        <w:rPr/>
      </w:pPr>
      <w:r>
        <w:rPr/>
        <w:t>8. Порядок определения победителя конкурса</w:t>
      </w:r>
    </w:p>
    <w:p>
      <w:pPr>
        <w:pStyle w:val="Style19"/>
        <w:spacing w:before="0" w:after="0"/>
        <w:ind w:firstLine="540"/>
        <w:jc w:val="both"/>
        <w:rPr/>
      </w:pPr>
      <w:r>
        <w:rPr/>
      </w:r>
    </w:p>
    <w:p>
      <w:pPr>
        <w:pStyle w:val="Normal"/>
        <w:spacing w:lineRule="auto" w:line="276"/>
        <w:ind w:firstLine="567"/>
        <w:jc w:val="both"/>
        <w:rPr/>
      </w:pPr>
      <w:r>
        <w:rPr/>
        <w:t>8.1.  Заявки оцениваются по критериям, установленным конкурсной документацией.</w:t>
      </w:r>
    </w:p>
    <w:p>
      <w:pPr>
        <w:pStyle w:val="Normal"/>
        <w:spacing w:lineRule="auto" w:line="276"/>
        <w:ind w:firstLine="567"/>
        <w:jc w:val="both"/>
        <w:rPr/>
      </w:pPr>
      <w:r>
        <w:rPr/>
        <w:t>Заявке на участие в конкурсе, получившей наибольшее количество баллов, присваивается первый номер. В случае наличия равного количества набранных баллов у двух и более участников конкурсного отбора, номера присваиваются в порядке поступления заявок.</w:t>
      </w:r>
    </w:p>
    <w:p>
      <w:pPr>
        <w:pStyle w:val="Style19"/>
        <w:spacing w:lineRule="auto" w:line="276" w:before="0" w:after="0"/>
        <w:ind w:firstLine="540"/>
        <w:jc w:val="both"/>
        <w:rPr/>
      </w:pPr>
      <w:r>
        <w:rPr/>
        <w:t>8.2. Победителем конкурсного отбора признается участник конкурсного отбора, заявке на участие, в конкурсном отборе которого присвоен первый номер.</w:t>
      </w:r>
    </w:p>
    <w:p>
      <w:pPr>
        <w:pStyle w:val="Style19"/>
        <w:spacing w:lineRule="auto" w:line="276" w:before="0" w:after="0"/>
        <w:ind w:firstLine="540"/>
        <w:jc w:val="both"/>
        <w:rPr>
          <w:color w:val="000000"/>
        </w:rPr>
      </w:pPr>
      <w:r>
        <w:rPr>
          <w:color w:val="000000"/>
        </w:rPr>
        <w:t>8.3. В случае поступления одной заявки конкурсный отбор считается несостоявшимся единственная, поданная заявка рассматривается в порядке, установленном настоящей документацией. Инвестиционное соглашение заключается с единственным участником конкурсного отбора, в случае если поданная заявка и участник соответствует требованиям, установленным настоящим Положением и конкурсной документации.</w:t>
      </w:r>
    </w:p>
    <w:p>
      <w:pPr>
        <w:pStyle w:val="Style19"/>
        <w:spacing w:lineRule="auto" w:line="276" w:before="0" w:after="0"/>
        <w:ind w:firstLine="540"/>
        <w:jc w:val="both"/>
        <w:rPr>
          <w:color w:val="000000"/>
        </w:rPr>
      </w:pPr>
      <w:r>
        <w:rPr>
          <w:color w:val="000000"/>
        </w:rPr>
      </w:r>
    </w:p>
    <w:p>
      <w:pPr>
        <w:pStyle w:val="Style19"/>
        <w:spacing w:lineRule="auto" w:line="276" w:before="0" w:after="0"/>
        <w:ind w:firstLine="540"/>
        <w:jc w:val="center"/>
        <w:rPr/>
      </w:pPr>
      <w:r>
        <w:rPr/>
        <w:t>9. Порядок и сроки подписания протокола о результатах проведения конкурсного отбора и информирования участников конкурса о принятом решении</w:t>
      </w:r>
    </w:p>
    <w:p>
      <w:pPr>
        <w:pStyle w:val="Style19"/>
        <w:spacing w:lineRule="auto" w:line="276" w:before="0" w:after="0"/>
        <w:ind w:firstLine="540"/>
        <w:jc w:val="both"/>
        <w:rPr/>
      </w:pPr>
      <w:r>
        <w:rPr/>
      </w:r>
    </w:p>
    <w:p>
      <w:pPr>
        <w:pStyle w:val="Style19"/>
        <w:spacing w:lineRule="auto" w:line="276" w:before="0" w:after="0"/>
        <w:ind w:firstLine="540"/>
        <w:jc w:val="both"/>
        <w:rPr/>
      </w:pPr>
      <w:r>
        <w:rPr/>
        <w:t xml:space="preserve">9.1. В ходе </w:t>
      </w:r>
      <w:r>
        <w:rPr>
          <w:color w:val="000000"/>
        </w:rPr>
        <w:t>рассмотрения и оценки заявок на участие в конкурсном отборе, а также рассмотрения единственной заявки на участие в конкурсном отборе  комиссией по отбору инвестора ведется и подписывается протокол о результатах проведения конкурсного отбора, который размещается на официальном сайте администрации Каслинского муниципального района в сети Интернет не позднее одного рабочего дня, следующего за датой его подписания</w:t>
      </w:r>
      <w:r>
        <w:rPr/>
        <w:t>.  Общий срок рассмотрения и оценки заявок не должен превышать 3 (Три) рабочих дня.</w:t>
      </w:r>
    </w:p>
    <w:p>
      <w:pPr>
        <w:pStyle w:val="Style19"/>
        <w:spacing w:lineRule="auto" w:line="276" w:before="0" w:after="0"/>
        <w:ind w:firstLine="540"/>
        <w:jc w:val="both"/>
        <w:rPr/>
      </w:pPr>
      <w:r>
        <w:rPr/>
        <w:t>9.2. Секретарь комиссии письменно информирует участников конкурсного отбора  о принятом решении в течение 1 (одного) рабочего дня после подведения итогов конкурсного отбора.</w:t>
      </w:r>
    </w:p>
    <w:p>
      <w:pPr>
        <w:pStyle w:val="Style19"/>
        <w:spacing w:lineRule="auto" w:line="276" w:before="0" w:after="0"/>
        <w:ind w:firstLine="540"/>
        <w:jc w:val="both"/>
        <w:rPr/>
      </w:pPr>
      <w:r>
        <w:rPr/>
      </w:r>
    </w:p>
    <w:p>
      <w:pPr>
        <w:pStyle w:val="Style19"/>
        <w:spacing w:lineRule="auto" w:line="276" w:before="0" w:after="0"/>
        <w:ind w:firstLine="540"/>
        <w:jc w:val="center"/>
        <w:rPr/>
      </w:pPr>
      <w:r>
        <w:rPr/>
        <w:t>10. Требования к победителю конкурса о представлении документов, подтверждающих обеспечение исполнения обязательств инвестора по инвестиционному соглашению</w:t>
      </w:r>
    </w:p>
    <w:p>
      <w:pPr>
        <w:pStyle w:val="Style19"/>
        <w:spacing w:lineRule="auto" w:line="276" w:before="0" w:after="0"/>
        <w:ind w:firstLine="540"/>
        <w:jc w:val="both"/>
        <w:rPr/>
      </w:pPr>
      <w:r>
        <w:rPr/>
        <w:t>10.1 Победитель конкурсного отбора обязан предоставить безотзывную банковскую гарантию на момент подписания инвестиционного соглашения.</w:t>
      </w:r>
    </w:p>
    <w:p>
      <w:pPr>
        <w:pStyle w:val="Style19"/>
        <w:spacing w:lineRule="auto" w:line="276" w:before="0" w:after="0"/>
        <w:ind w:firstLine="540"/>
        <w:jc w:val="both"/>
        <w:rPr/>
      </w:pPr>
      <w:r>
        <w:rPr/>
        <w:t xml:space="preserve">10.2 Безотзывная банковская гарантия в размере 1 000 000 (Один миллион) рублей должна быть оформлена в соответствии с требованиями законодательства Российской Федерации. Срок действия банковской гарантии – до 01 </w:t>
      </w:r>
      <w:r>
        <w:rPr/>
        <w:t>декабря</w:t>
      </w:r>
      <w:r>
        <w:rPr/>
        <w:t xml:space="preserve"> 2020 г.</w:t>
      </w:r>
    </w:p>
    <w:p>
      <w:pPr>
        <w:pStyle w:val="Style19"/>
        <w:spacing w:lineRule="auto" w:line="276" w:before="0" w:after="0"/>
        <w:ind w:firstLine="540"/>
        <w:jc w:val="both"/>
        <w:rPr/>
      </w:pPr>
      <w:r>
        <w:rPr/>
        <w:t>10.3 В соответствии с указанной безотзывной банковской гарантией гарант должен взять на себя обязательство выплатить Управлению строительства и инфраструктуры администрации Каслинского муниципального района  (бенефициару) сумму в размере     1 000 000 (Один миллион) рублей не позднее 15 дней с момента получения письменного требования бенефициара, содержащего указание на то, что инвестором (принципалом) не выполнены или выполнены ненадлежащим образом обязательства по инвестиционному соглашению.</w:t>
      </w:r>
    </w:p>
    <w:p>
      <w:pPr>
        <w:pStyle w:val="Style19"/>
        <w:spacing w:lineRule="auto" w:line="276" w:before="0" w:after="0"/>
        <w:ind w:firstLine="540"/>
        <w:jc w:val="both"/>
        <w:rPr/>
      </w:pPr>
      <w:r>
        <w:rPr/>
        <w:t>10.4. Денежные средства безотзывной банковской гарантии за нарушение обязательств по инвестиционному соглашению перечисляются на реквизиты, указанные бенефициаром при условии предоставления надлежащим образом оформленных документов, подтверждающих факт неисполнения принципалом обязательств в сроки, предусмотренные инвестиционным соглашением.</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center"/>
        <w:rPr/>
      </w:pPr>
      <w:r>
        <w:rPr/>
        <w:t>11. Проект инвестиционного соглашения</w:t>
      </w:r>
    </w:p>
    <w:p>
      <w:pPr>
        <w:pStyle w:val="Normal"/>
        <w:jc w:val="center"/>
        <w:rPr/>
      </w:pPr>
      <w:r>
        <w:rPr/>
      </w:r>
    </w:p>
    <w:p>
      <w:pPr>
        <w:pStyle w:val="Style19"/>
        <w:jc w:val="center"/>
        <w:rPr/>
      </w:pPr>
      <w:r>
        <w:rPr/>
        <w:t>ИНВЕСТИЦИОННОЕ СОГЛАШЕНИЕ № ___</w:t>
      </w:r>
    </w:p>
    <w:p>
      <w:pPr>
        <w:pStyle w:val="Style19"/>
        <w:rPr/>
      </w:pPr>
      <w:r>
        <w:rPr/>
        <w:t>г. Касли</w:t>
        <w:tab/>
        <w:tab/>
        <w:tab/>
        <w:tab/>
        <w:tab/>
        <w:tab/>
        <w:tab/>
        <w:t xml:space="preserve">                «___»___________20</w:t>
      </w:r>
      <w:r>
        <w:rPr/>
        <w:t>20</w:t>
      </w:r>
      <w:r>
        <w:rPr/>
        <w:t xml:space="preserve"> года</w:t>
      </w:r>
    </w:p>
    <w:p>
      <w:pPr>
        <w:pStyle w:val="Style19"/>
        <w:spacing w:lineRule="auto" w:line="276" w:before="0" w:after="0"/>
        <w:ind w:firstLine="540"/>
        <w:jc w:val="both"/>
        <w:rPr/>
      </w:pPr>
      <w:r>
        <w:rPr/>
        <w:t xml:space="preserve">Управление строительства и инфраструктуры администрации Каслинского муниципального района, в дальнейшем именуемое «Управление» в лице заместителя главы Каслинского муниципального района Горобца Вячеслава Владимировича, действующего на основании </w:t>
      </w:r>
      <w:r>
        <w:rPr/>
        <w:t>Положения</w:t>
      </w:r>
      <w:r>
        <w:rPr/>
        <w:t>, с одной стороны, и _____________________________________, в дальнейшем именуемый «Инвестор» в лице __________________________________________, действующего на основании __________________, с другой стороны, именуемые в дальнейшем «Стороны», заключили настоящее инвестиционное соглашение (далее – «Соглашение») о нижеследующем:</w:t>
      </w:r>
    </w:p>
    <w:p>
      <w:pPr>
        <w:pStyle w:val="Style19"/>
        <w:spacing w:lineRule="auto" w:line="276" w:before="0" w:after="0"/>
        <w:ind w:firstLine="540"/>
        <w:jc w:val="both"/>
        <w:rPr/>
      </w:pPr>
      <w:r>
        <w:rPr/>
      </w:r>
    </w:p>
    <w:p>
      <w:pPr>
        <w:pStyle w:val="ConsNonformat"/>
        <w:numPr>
          <w:ilvl w:val="0"/>
          <w:numId w:val="7"/>
        </w:numPr>
        <w:spacing w:lineRule="auto" w:line="276"/>
        <w:ind w:left="0" w:firstLine="142"/>
        <w:jc w:val="center"/>
        <w:rPr>
          <w:rFonts w:ascii="Times New Roman" w:hAnsi="Times New Roman" w:cs="Times New Roman"/>
          <w:sz w:val="24"/>
          <w:szCs w:val="24"/>
        </w:rPr>
      </w:pPr>
      <w:r>
        <w:rPr>
          <w:rFonts w:cs="Times New Roman" w:ascii="Times New Roman" w:hAnsi="Times New Roman"/>
          <w:b/>
          <w:sz w:val="24"/>
          <w:szCs w:val="24"/>
        </w:rPr>
        <w:t>ОБЩИЕ ПОЛОЖЕНИЯ</w:t>
      </w:r>
    </w:p>
    <w:p>
      <w:pPr>
        <w:pStyle w:val="WW"/>
        <w:numPr>
          <w:ilvl w:val="1"/>
          <w:numId w:val="7"/>
        </w:numPr>
        <w:shd w:fill="FFFFFF" w:val="clear"/>
        <w:spacing w:before="0" w:after="0"/>
        <w:ind w:left="0" w:firstLine="643"/>
        <w:jc w:val="both"/>
        <w:rPr/>
      </w:pPr>
      <w:r>
        <w:rPr>
          <w:rFonts w:cs="Times New Roman" w:ascii="Times New Roman" w:hAnsi="Times New Roman"/>
          <w:sz w:val="24"/>
          <w:szCs w:val="24"/>
        </w:rPr>
        <w:t xml:space="preserve">Настоящее соглашение заключается с соблюдением требований Гражданского кодекса Российской Федерации, Федерального закона от 25.02.1999 № 39-ФЗ «Об инвестиционной деятельности в Российской Федерации, осуществляемой в форме капитальных вложений» </w:t>
      </w:r>
      <w:r>
        <w:rPr>
          <w:rFonts w:cs="Times New Roman" w:ascii="Times New Roman" w:hAnsi="Times New Roman"/>
          <w:spacing w:val="-2"/>
          <w:sz w:val="24"/>
          <w:szCs w:val="24"/>
        </w:rPr>
        <w:t xml:space="preserve">и иных нормативных правовых актов Российской Федерации, </w:t>
      </w:r>
      <w:r>
        <w:rPr>
          <w:rFonts w:cs="Times New Roman" w:ascii="Times New Roman" w:hAnsi="Times New Roman"/>
          <w:sz w:val="24"/>
          <w:szCs w:val="24"/>
        </w:rPr>
        <w:t xml:space="preserve">на основании результатов </w:t>
      </w:r>
      <w:r>
        <w:rPr>
          <w:rFonts w:cs="Times New Roman" w:ascii="Times New Roman" w:hAnsi="Times New Roman"/>
          <w:color w:val="000000"/>
          <w:sz w:val="24"/>
          <w:szCs w:val="24"/>
        </w:rPr>
        <w:t>конкурсного отбора инвестора</w:t>
      </w:r>
      <w:r>
        <w:rPr>
          <w:rFonts w:cs="Times New Roman" w:ascii="Times New Roman" w:hAnsi="Times New Roman"/>
          <w:sz w:val="24"/>
          <w:szCs w:val="24"/>
        </w:rPr>
        <w:t>, протокол о результатах конкурсного отбора № ______________________ от __________________ г.</w:t>
      </w:r>
    </w:p>
    <w:p>
      <w:pPr>
        <w:pStyle w:val="WW"/>
        <w:numPr>
          <w:ilvl w:val="0"/>
          <w:numId w:val="0"/>
        </w:numPr>
        <w:shd w:fill="FFFFFF" w:val="clear"/>
        <w:spacing w:before="0" w:after="0"/>
        <w:ind w:left="1080" w:hanging="0"/>
        <w:jc w:val="both"/>
        <w:rPr>
          <w:rFonts w:ascii="Times New Roman" w:hAnsi="Times New Roman" w:cs="Times New Roman"/>
          <w:sz w:val="24"/>
          <w:szCs w:val="24"/>
        </w:rPr>
      </w:pPr>
      <w:r>
        <w:rPr/>
      </w:r>
    </w:p>
    <w:p>
      <w:pPr>
        <w:pStyle w:val="Style19"/>
        <w:numPr>
          <w:ilvl w:val="0"/>
          <w:numId w:val="7"/>
        </w:numPr>
        <w:suppressAutoHyphens w:val="false"/>
        <w:spacing w:lineRule="auto" w:line="276" w:before="0" w:after="0"/>
        <w:jc w:val="center"/>
        <w:rPr>
          <w:b/>
          <w:b/>
        </w:rPr>
      </w:pPr>
      <w:r>
        <w:rPr>
          <w:b/>
        </w:rPr>
        <w:t>ПРЕДМЕТ СОГЛАШЕНИЯ</w:t>
      </w:r>
    </w:p>
    <w:p>
      <w:pPr>
        <w:pStyle w:val="Style19"/>
        <w:spacing w:lineRule="auto" w:line="276" w:before="0" w:after="0"/>
        <w:ind w:firstLine="540"/>
        <w:jc w:val="both"/>
        <w:rPr/>
      </w:pPr>
      <w:r>
        <w:rPr/>
        <w:t>2.1. Настоящее Соглашение заключено Сторонами в целях взаимовыгодного, долгосрочного сотрудничества и объединения усилий Сторон, направленных на повышение использования коммунальной инфраструктуры с целью реализации полномочий Управления по организации теплоснабжения населения поселка Береговой Каслинского муниципального района.</w:t>
      </w:r>
    </w:p>
    <w:p>
      <w:pPr>
        <w:pStyle w:val="Style19"/>
        <w:spacing w:lineRule="auto" w:line="276" w:before="0" w:after="0"/>
        <w:ind w:firstLine="540"/>
        <w:jc w:val="both"/>
        <w:rPr/>
      </w:pPr>
      <w:r>
        <w:rPr/>
        <w:t>2.2. Настоящее соглашение определяет взаимоотношения сторон при  проектировании, строительстве отдельно стоящей газовой котельной, предназначенной для теплоснабжения поселка Береговой Каслинского муниципального района, проектировании и строительстве подводящих инженерных сетей к новой газовой котельной.</w:t>
      </w:r>
    </w:p>
    <w:p>
      <w:pPr>
        <w:pStyle w:val="Style19"/>
        <w:spacing w:lineRule="auto" w:line="276" w:before="0" w:after="0"/>
        <w:ind w:firstLine="540"/>
        <w:jc w:val="both"/>
        <w:rPr/>
      </w:pPr>
      <w:r>
        <w:rPr/>
      </w:r>
    </w:p>
    <w:p>
      <w:pPr>
        <w:pStyle w:val="Style19"/>
        <w:spacing w:lineRule="auto" w:line="276" w:before="0" w:after="0"/>
        <w:jc w:val="center"/>
        <w:rPr>
          <w:b/>
          <w:b/>
        </w:rPr>
      </w:pPr>
      <w:r>
        <w:rPr>
          <w:b/>
        </w:rPr>
        <w:t>3. ХАРАКТЕРИСТИКА ИНВЕСТИЦИОННОГО ПРОЕКТА</w:t>
      </w:r>
    </w:p>
    <w:p>
      <w:pPr>
        <w:pStyle w:val="Style19"/>
        <w:spacing w:lineRule="auto" w:line="276" w:before="0" w:after="0"/>
        <w:ind w:firstLine="540"/>
        <w:jc w:val="both"/>
        <w:rPr/>
      </w:pPr>
      <w:r>
        <w:rPr/>
        <w:t>3.1. Котельная, расположенная по адресу: Челябинская область, Каслинский района, поселок Береговой,  пер. Больничный</w:t>
      </w:r>
    </w:p>
    <w:p>
      <w:pPr>
        <w:pStyle w:val="Style19"/>
        <w:spacing w:lineRule="auto" w:line="276" w:before="0" w:after="0"/>
        <w:ind w:firstLine="540"/>
        <w:jc w:val="both"/>
        <w:rPr/>
      </w:pPr>
      <w:r>
        <w:rPr/>
        <w:t xml:space="preserve">Полезная тепловая нагрузка -  </w:t>
      </w:r>
      <w:r>
        <w:rPr>
          <w:bCs/>
          <w:lang w:bidi="ru-RU"/>
        </w:rPr>
        <w:t>8,16 Гкал/ч.</w:t>
      </w:r>
      <w:r>
        <w:rPr/>
        <w:t>, в т.ч. ГВС 1,48 Гкал/ч;</w:t>
      </w:r>
    </w:p>
    <w:p>
      <w:pPr>
        <w:pStyle w:val="Style19"/>
        <w:spacing w:lineRule="auto" w:line="276" w:before="0" w:after="0"/>
        <w:ind w:firstLine="540"/>
        <w:jc w:val="both"/>
        <w:rPr/>
      </w:pPr>
      <w:r>
        <w:rPr/>
        <w:t>Система теплоснабжения – открытая с перспективой перевода на закрытую систему теплоснабжения в 2022-2025г;</w:t>
      </w:r>
    </w:p>
    <w:p>
      <w:pPr>
        <w:pStyle w:val="Style19"/>
        <w:spacing w:lineRule="auto" w:line="276" w:before="0" w:after="0"/>
        <w:ind w:firstLine="540"/>
        <w:jc w:val="both"/>
        <w:rPr/>
      </w:pPr>
      <w:r>
        <w:rPr/>
        <w:t xml:space="preserve">Параметры теплоносителя: 95-70 </w:t>
      </w:r>
      <w:r>
        <w:rPr>
          <w:vertAlign w:val="superscript"/>
        </w:rPr>
        <w:t>о</w:t>
      </w:r>
      <w:r>
        <w:rPr/>
        <w:t xml:space="preserve"> С – на отопление, вентиляцию и ГВС;</w:t>
      </w:r>
    </w:p>
    <w:p>
      <w:pPr>
        <w:pStyle w:val="Style19"/>
        <w:spacing w:lineRule="auto" w:line="276" w:before="0" w:after="0"/>
        <w:ind w:firstLine="540"/>
        <w:jc w:val="both"/>
        <w:rPr/>
      </w:pPr>
      <w:r>
        <w:rPr/>
        <w:t>Категория надежности отпуска теплоты потребителям – Первая;</w:t>
      </w:r>
    </w:p>
    <w:p>
      <w:pPr>
        <w:pStyle w:val="Style19"/>
        <w:spacing w:lineRule="auto" w:line="276" w:before="0" w:after="0"/>
        <w:ind w:firstLine="540"/>
        <w:jc w:val="both"/>
        <w:rPr/>
      </w:pPr>
      <w:r>
        <w:rPr/>
        <w:t>Котельная по целевому назначению: отопительная, возможность применения блочно-модульной котельной определить проектными решениями;</w:t>
      </w:r>
    </w:p>
    <w:p>
      <w:pPr>
        <w:pStyle w:val="Style19"/>
        <w:spacing w:lineRule="auto" w:line="276" w:before="0" w:after="0"/>
        <w:ind w:firstLine="540"/>
        <w:jc w:val="both"/>
        <w:rPr/>
      </w:pPr>
      <w:r>
        <w:rPr/>
        <w:t>Годовое число часов использования установленной производительности: 8760.</w:t>
      </w:r>
    </w:p>
    <w:p>
      <w:pPr>
        <w:pStyle w:val="Style19"/>
        <w:spacing w:lineRule="auto" w:line="276" w:before="0" w:after="0"/>
        <w:ind w:firstLine="540"/>
        <w:jc w:val="both"/>
        <w:rPr/>
      </w:pPr>
      <w:r>
        <w:rPr/>
        <w:t xml:space="preserve">Срок окончания строительства не позднее «01» </w:t>
      </w:r>
      <w:r>
        <w:rPr/>
        <w:t>октября</w:t>
      </w:r>
      <w:r>
        <w:rPr/>
        <w:t xml:space="preserve"> 2020 г.</w:t>
      </w:r>
    </w:p>
    <w:p>
      <w:pPr>
        <w:pStyle w:val="Style19"/>
        <w:spacing w:lineRule="auto" w:line="276" w:before="0" w:after="0"/>
        <w:ind w:firstLine="540"/>
        <w:jc w:val="both"/>
        <w:rPr/>
      </w:pPr>
      <w:r>
        <w:rPr/>
        <w:t xml:space="preserve">Срок ввода в эксплуатацию не позднее «01» </w:t>
      </w:r>
      <w:r>
        <w:rPr/>
        <w:t>ноября</w:t>
      </w:r>
      <w:r>
        <w:rPr/>
        <w:t xml:space="preserve"> 2020г.</w:t>
      </w:r>
    </w:p>
    <w:p>
      <w:pPr>
        <w:pStyle w:val="Style19"/>
        <w:spacing w:lineRule="auto" w:line="276" w:before="0" w:after="0"/>
        <w:ind w:firstLine="540"/>
        <w:jc w:val="both"/>
        <w:rPr>
          <w:color w:val="FF0000"/>
        </w:rPr>
      </w:pPr>
      <w:r>
        <w:rPr/>
        <w:t>3.2. С целью реализации настоящего соглашения Инвестор самостоятельно обращается в администрацию Каслинского муниципального района с заявлениями об утверждении схемы расположения земельного участка на кадастровом плане территории и о предоставлении  участка в аренду для проектирования и строительства отдельно стоящей газовой котельной по адресу: Челябинская область, Каслинский района, поселок Береговой,  пер. Больничный.</w:t>
      </w:r>
    </w:p>
    <w:p>
      <w:pPr>
        <w:pStyle w:val="Style19"/>
        <w:spacing w:lineRule="auto" w:line="276" w:before="0" w:after="0"/>
        <w:ind w:firstLine="540"/>
        <w:jc w:val="both"/>
        <w:rPr>
          <w:color w:val="FF0000"/>
        </w:rPr>
      </w:pPr>
      <w:r>
        <w:rPr>
          <w:color w:val="FF0000"/>
        </w:rPr>
      </w:r>
    </w:p>
    <w:p>
      <w:pPr>
        <w:pStyle w:val="Normal"/>
        <w:spacing w:lineRule="auto" w:line="276"/>
        <w:ind w:firstLine="600"/>
        <w:jc w:val="both"/>
        <w:rPr/>
      </w:pPr>
      <w:r>
        <w:rPr/>
        <w:t>3.3.</w:t>
      </w:r>
      <w:r>
        <w:rPr>
          <w:i/>
        </w:rPr>
        <w:t xml:space="preserve"> </w:t>
      </w:r>
      <w:r>
        <w:rPr/>
        <w:t>Действующий тариф на тепловую энергию, поставляемую потребителям поселка Береговой Каслинского муниципального района, составляет – 1265,22 руб./Гкал (без учета НДС).</w:t>
      </w:r>
    </w:p>
    <w:p>
      <w:pPr>
        <w:pStyle w:val="Normal"/>
        <w:spacing w:lineRule="auto" w:line="276"/>
        <w:ind w:firstLine="600"/>
        <w:jc w:val="both"/>
        <w:rPr/>
      </w:pPr>
      <w:r>
        <w:rPr/>
        <w:t>3.4. Конечные цены на природный газ, поставляемый потребителям  поселка Береговой Каслинского муниципального района по состоянию на</w:t>
      </w:r>
      <w:r>
        <w:rPr>
          <w:color w:val="FF0000"/>
        </w:rPr>
        <w:t xml:space="preserve"> </w:t>
      </w:r>
      <w:r>
        <w:rPr/>
        <w:t>01.10.2019 г., составляет - 4954,62 руб./тыс.куб.м. (без учета НДС).</w:t>
      </w:r>
    </w:p>
    <w:p>
      <w:pPr>
        <w:pStyle w:val="Normal"/>
        <w:spacing w:lineRule="auto" w:line="276"/>
        <w:ind w:firstLine="567"/>
        <w:jc w:val="both"/>
        <w:rPr/>
      </w:pPr>
      <w:r>
        <w:rPr/>
        <w:t>3.5. Срок выполнения строительно-монтажных работ:</w:t>
      </w:r>
    </w:p>
    <w:p>
      <w:pPr>
        <w:pStyle w:val="Style19"/>
        <w:spacing w:lineRule="auto" w:line="276" w:before="0" w:after="0"/>
        <w:ind w:firstLine="540"/>
        <w:jc w:val="both"/>
        <w:rPr/>
      </w:pPr>
      <w:r>
        <w:rPr/>
        <w:t xml:space="preserve">Начало выполнения работ: с момента заключения инвестиционного соглашения. </w:t>
      </w:r>
    </w:p>
    <w:p>
      <w:pPr>
        <w:pStyle w:val="Style19"/>
        <w:spacing w:lineRule="auto" w:line="276" w:before="0" w:after="0"/>
        <w:ind w:firstLine="540"/>
        <w:jc w:val="both"/>
        <w:rPr/>
      </w:pPr>
      <w:r>
        <w:rPr/>
        <w:t>Окончание срока выполнения работ:</w:t>
      </w:r>
    </w:p>
    <w:p>
      <w:pPr>
        <w:pStyle w:val="Style19"/>
        <w:spacing w:lineRule="auto" w:line="276" w:before="0" w:after="0"/>
        <w:ind w:firstLine="540"/>
        <w:jc w:val="both"/>
        <w:rPr/>
      </w:pPr>
      <w:r>
        <w:rPr/>
        <w:t xml:space="preserve">- срок окончания строительства: не позднее 01 </w:t>
      </w:r>
      <w:r>
        <w:rPr/>
        <w:t>октября</w:t>
      </w:r>
      <w:r>
        <w:rPr/>
        <w:t xml:space="preserve"> 2020 г.</w:t>
      </w:r>
    </w:p>
    <w:p>
      <w:pPr>
        <w:pStyle w:val="Style19"/>
        <w:spacing w:lineRule="auto" w:line="276" w:before="0" w:after="0"/>
        <w:ind w:firstLine="540"/>
        <w:jc w:val="both"/>
        <w:rPr/>
      </w:pPr>
      <w:r>
        <w:rPr/>
        <w:t xml:space="preserve">- срок ввода в эксплуатацию отдельно стоящей газовой котельной с подводящими инженерными сетями: 01 </w:t>
      </w:r>
      <w:r>
        <w:rPr/>
        <w:t>ноября</w:t>
      </w:r>
      <w:r>
        <w:rPr/>
        <w:t xml:space="preserve"> 2020 г.</w:t>
      </w:r>
    </w:p>
    <w:p>
      <w:pPr>
        <w:pStyle w:val="Style19"/>
        <w:spacing w:lineRule="auto" w:line="276" w:before="0" w:after="0"/>
        <w:ind w:firstLine="540"/>
        <w:jc w:val="both"/>
        <w:rPr/>
      </w:pPr>
      <w:r>
        <w:rPr/>
        <w:t>3.6. Инвестиции направляются:</w:t>
      </w:r>
    </w:p>
    <w:p>
      <w:pPr>
        <w:pStyle w:val="Style19"/>
        <w:spacing w:lineRule="auto" w:line="276" w:before="0" w:after="0"/>
        <w:ind w:firstLine="540"/>
        <w:rPr/>
      </w:pPr>
      <w:r>
        <w:rPr/>
        <w:t>- на подготовку необходимой проектно – сметной документации;</w:t>
      </w:r>
    </w:p>
    <w:p>
      <w:pPr>
        <w:pStyle w:val="Style19"/>
        <w:spacing w:lineRule="auto" w:line="276" w:before="0" w:after="0"/>
        <w:ind w:firstLine="540"/>
        <w:jc w:val="both"/>
        <w:rPr>
          <w:b/>
          <w:b/>
        </w:rPr>
      </w:pPr>
      <w:r>
        <w:rPr/>
        <w:t>- на строительство отдельно стоящей газовой котельной, расположенной по адресу: Челябинская область, Каслинский района, поселок Береговой,  пер. Больничный</w:t>
      </w:r>
      <w:r>
        <w:rPr>
          <w:b/>
        </w:rPr>
        <w:t>;</w:t>
      </w:r>
    </w:p>
    <w:p>
      <w:pPr>
        <w:pStyle w:val="Style19"/>
        <w:spacing w:lineRule="auto" w:line="276" w:before="0" w:after="0"/>
        <w:ind w:firstLine="540"/>
        <w:jc w:val="both"/>
        <w:rPr/>
      </w:pPr>
      <w:r>
        <w:rPr/>
        <w:t>- проектирование и строительство подводящих инженерных сетей к новой газовой котельной.</w:t>
      </w:r>
    </w:p>
    <w:p>
      <w:pPr>
        <w:pStyle w:val="Style19"/>
        <w:spacing w:lineRule="auto" w:line="276" w:before="0" w:after="0"/>
        <w:ind w:firstLine="540"/>
        <w:jc w:val="both"/>
        <w:rPr/>
      </w:pPr>
      <w:r>
        <w:rPr/>
        <w:t>Инвестиции выделяются с момента подписания настоящего соглашения в объеме необходимом для реализации настоящего Соглашения.</w:t>
      </w:r>
    </w:p>
    <w:p>
      <w:pPr>
        <w:pStyle w:val="Style19"/>
        <w:spacing w:lineRule="auto" w:line="276" w:before="0" w:after="0"/>
        <w:ind w:firstLine="540"/>
        <w:jc w:val="both"/>
        <w:rPr/>
      </w:pPr>
      <w:r>
        <w:rPr/>
        <w:t>3.7. Социальная и бюджетная эффективность проекта.</w:t>
      </w:r>
    </w:p>
    <w:p>
      <w:pPr>
        <w:pStyle w:val="Style19"/>
        <w:spacing w:lineRule="auto" w:line="276" w:before="0" w:after="0"/>
        <w:ind w:firstLine="540"/>
        <w:jc w:val="both"/>
        <w:rPr>
          <w:color w:val="008000"/>
        </w:rPr>
      </w:pPr>
      <w:r>
        <w:rPr/>
        <w:t>В результате реализации проекта предусмотрено создание 3 (Трех) рабочих мест.</w:t>
      </w:r>
    </w:p>
    <w:p>
      <w:pPr>
        <w:pStyle w:val="Style19"/>
        <w:spacing w:lineRule="auto" w:line="276" w:before="0" w:after="0"/>
        <w:ind w:firstLine="540"/>
        <w:rPr>
          <w:color w:val="008000"/>
        </w:rPr>
      </w:pPr>
      <w:r>
        <w:rPr>
          <w:color w:val="008000"/>
        </w:rPr>
      </w:r>
    </w:p>
    <w:p>
      <w:pPr>
        <w:pStyle w:val="Style19"/>
        <w:spacing w:lineRule="auto" w:line="276" w:before="0" w:after="0"/>
        <w:jc w:val="center"/>
        <w:rPr/>
      </w:pPr>
      <w:r>
        <w:rPr>
          <w:b/>
        </w:rPr>
        <w:t>4. ПРАВА И ОБЯЗАННОСТИ СТОРОН</w:t>
      </w:r>
    </w:p>
    <w:p>
      <w:pPr>
        <w:pStyle w:val="Style19"/>
        <w:spacing w:lineRule="auto" w:line="276" w:before="0" w:after="0"/>
        <w:ind w:firstLine="540"/>
        <w:jc w:val="both"/>
        <w:rPr>
          <w:b/>
          <w:b/>
        </w:rPr>
      </w:pPr>
      <w:r>
        <w:rPr>
          <w:b/>
        </w:rPr>
        <w:t>4.1. Инвестор имеет право:</w:t>
      </w:r>
    </w:p>
    <w:p>
      <w:pPr>
        <w:pStyle w:val="Style19"/>
        <w:spacing w:lineRule="auto" w:line="276" w:before="0" w:after="0"/>
        <w:ind w:firstLine="540"/>
        <w:jc w:val="both"/>
        <w:rPr/>
      </w:pPr>
      <w:r>
        <w:rPr/>
        <w:t>4.1.1. Получать нефинансовые меры муниципальной поддержки в том числе:</w:t>
      </w:r>
    </w:p>
    <w:p>
      <w:pPr>
        <w:pStyle w:val="Style19"/>
        <w:spacing w:lineRule="auto" w:line="276" w:before="0" w:after="0"/>
        <w:ind w:firstLine="540"/>
        <w:jc w:val="both"/>
        <w:rPr/>
      </w:pPr>
      <w:r>
        <w:rPr/>
        <w:t>а)  размещение позитивной информации о Субъекте инвестиционной деятельности в средствах массовой информации;</w:t>
      </w:r>
    </w:p>
    <w:p>
      <w:pPr>
        <w:pStyle w:val="Style19"/>
        <w:spacing w:lineRule="auto" w:line="276" w:before="0" w:after="0"/>
        <w:ind w:firstLine="540"/>
        <w:jc w:val="both"/>
        <w:rPr/>
      </w:pPr>
      <w:r>
        <w:rPr/>
        <w:t>б) оформление Управлением ходатайства о поддержке  Инвестиционного проекта  для представления в региональные органы государственной власти РФ;</w:t>
      </w:r>
    </w:p>
    <w:p>
      <w:pPr>
        <w:pStyle w:val="Style19"/>
        <w:spacing w:lineRule="auto" w:line="276" w:before="0" w:after="0"/>
        <w:ind w:firstLine="540"/>
        <w:jc w:val="both"/>
        <w:rPr/>
      </w:pPr>
      <w:r>
        <w:rPr/>
        <w:t>в) ознакомление со схемой теплоснабжения за исключением сведений, отнесенных к государственной тайне, в течение 5 (пяти дней) с момента подписания инвестиционного Соглашения.</w:t>
      </w:r>
    </w:p>
    <w:p>
      <w:pPr>
        <w:pStyle w:val="Style19"/>
        <w:spacing w:lineRule="auto" w:line="276" w:before="0" w:after="0"/>
        <w:ind w:firstLine="540"/>
        <w:jc w:val="both"/>
        <w:rPr/>
      </w:pPr>
      <w:r>
        <w:rPr/>
        <w:t>4.1.2.  Передать свои права и обязанности по настоящему Соглашению, а также свои права на объект строительства другому лицу лишь с предварительного согласия Управления.</w:t>
      </w:r>
    </w:p>
    <w:p>
      <w:pPr>
        <w:pStyle w:val="Style19"/>
        <w:spacing w:lineRule="auto" w:line="276" w:before="0" w:after="0"/>
        <w:ind w:firstLine="540"/>
        <w:jc w:val="both"/>
        <w:rPr/>
      </w:pPr>
      <w:r>
        <w:rPr>
          <w:b/>
        </w:rPr>
        <w:t>4.2. Инвестор обязан:</w:t>
      </w:r>
    </w:p>
    <w:p>
      <w:pPr>
        <w:pStyle w:val="Style19"/>
        <w:spacing w:lineRule="auto" w:line="276" w:before="0" w:after="0"/>
        <w:ind w:firstLine="540"/>
        <w:jc w:val="both"/>
        <w:rPr/>
      </w:pPr>
      <w:r>
        <w:rPr/>
        <w:t>4.2.1. За счет собственных и (или) привлеченных средств, в том числе, предоставляемых финансирующими организациями, в соответствии с технической документацией, технико-экономическими показателями и характеристиками объектов, осуществить строительство отдельно стоящей газовой котельной, указанной в п. 3.1, настоящего Соглашения, а также осуществить проектирование и строительство подводящих инженерных сетей к новой газовой котельной, согласно техническим условиям.</w:t>
      </w:r>
    </w:p>
    <w:p>
      <w:pPr>
        <w:pStyle w:val="Normal"/>
        <w:widowControl w:val="false"/>
        <w:numPr>
          <w:ilvl w:val="0"/>
          <w:numId w:val="0"/>
        </w:numPr>
        <w:spacing w:lineRule="auto" w:line="276"/>
        <w:ind w:left="33" w:firstLine="534"/>
        <w:jc w:val="both"/>
        <w:outlineLvl w:val="0"/>
        <w:rPr/>
      </w:pPr>
      <w:r>
        <w:rPr/>
        <w:t xml:space="preserve">4.2.2. Осуществить реализацию  настоящего соглашения с надлежащим качеством в соответствии с условиями настоящего соглашения, техническим заданием на строительство объекта, проектно-сметной документацией по объекту, Федеральным законом </w:t>
      </w:r>
      <w:r>
        <w:rPr>
          <w:color w:val="000000"/>
        </w:rPr>
        <w:t xml:space="preserve">от 21 июля 1997 г. N 116-ФЗ «О промышленной безопасности опасных производственных объектов», Федеральным законом от 27 июля 2010 г. N 190-ФЗ «О теплоснабжении»,  </w:t>
      </w:r>
      <w:r>
        <w:rPr/>
        <w:t>Постановлением администрации Береговского сельского поселения от 06.07.2018 г. № 10/1 «Об утверждении схем теплоснабжения, водоснабжения и водоотведения Береговского сельского поселения на 2018  – 2033 годы»</w:t>
      </w:r>
      <w:r>
        <w:rPr>
          <w:color w:val="000000"/>
        </w:rPr>
        <w:t xml:space="preserve"> </w:t>
      </w:r>
      <w:r>
        <w:rPr/>
        <w:t>и другими нормативными правовыми актами РФ, Челябинской области. Результат работ должен соответствовать действующему законодательству, в том числе СниП, ГОСТ, СП, РД и другим нормативным документам на момент ввода объекта в эксплуатацию.</w:t>
      </w:r>
    </w:p>
    <w:p>
      <w:pPr>
        <w:pStyle w:val="Normal"/>
        <w:autoSpaceDE w:val="false"/>
        <w:spacing w:lineRule="auto" w:line="276"/>
        <w:ind w:firstLine="567"/>
        <w:jc w:val="both"/>
        <w:rPr/>
      </w:pPr>
      <w:r>
        <w:rPr/>
        <w:t xml:space="preserve">4.2.3. </w:t>
      </w:r>
      <w:r>
        <w:rPr>
          <w:rFonts w:cs="Calibri"/>
        </w:rPr>
        <w:t>Получать в соответствующих органах и организациях необходимые согласования, разрешения, предписания и технические условия на подключение объекта к действующим сетям.</w:t>
      </w:r>
    </w:p>
    <w:p>
      <w:pPr>
        <w:pStyle w:val="Normal"/>
        <w:autoSpaceDE w:val="false"/>
        <w:spacing w:lineRule="auto" w:line="276"/>
        <w:ind w:firstLine="567"/>
        <w:jc w:val="both"/>
        <w:rPr/>
      </w:pPr>
      <w:r>
        <w:rPr/>
        <w:t xml:space="preserve">4.2.4. Организовать постоянную деятельность по производству и передаче тепловой энергии газовой котельной с момента ввода объекта в эксплуатацию постоянно по установленным тарифам в соответствии с законодательством РФ. Осуществлять поддержание объекта в исправном состоянии, отвечающем техническим требованиям и проводить за свой счет текущий и капитальный ремонт объекта, осуществлять расходы по содержанию объекта в течение всего срока эксплуатации. </w:t>
      </w:r>
    </w:p>
    <w:p>
      <w:pPr>
        <w:pStyle w:val="Style19"/>
        <w:spacing w:lineRule="auto" w:line="276" w:before="0" w:after="0"/>
        <w:ind w:firstLine="540"/>
        <w:jc w:val="both"/>
        <w:rPr/>
      </w:pPr>
      <w:r>
        <w:rPr/>
        <w:t>4.2.5. Осуществить страхование (за свой счет) риска утраты или повреждения вновь построенной котельной в течение 60 дней с момента ввода объекта в эксплуатацию, а также страхование (за свой счет) ответственности перед третьими лицами за причинение им вреда в результате эксплуатации котельной н</w:t>
      </w:r>
      <w:r>
        <w:rPr>
          <w:lang w:eastAsia="ru-RU"/>
        </w:rPr>
        <w:t>а условиях и в порядке, которые установлены Федеральным законом</w:t>
      </w:r>
      <w:r>
        <w:rPr/>
        <w:t xml:space="preserve"> о</w:t>
      </w:r>
      <w:r>
        <w:rPr>
          <w:lang w:eastAsia="ru-RU"/>
        </w:rPr>
        <w:t>т 27.07.2010 №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Style19"/>
        <w:spacing w:lineRule="auto" w:line="276" w:before="0" w:after="0"/>
        <w:ind w:firstLine="540"/>
        <w:jc w:val="both"/>
        <w:rPr/>
      </w:pPr>
      <w:r>
        <w:rPr/>
        <w:t>4.2.6. Использовать объект для осуществления деятельности, предусмотренной инвестиционным Соглашением.</w:t>
      </w:r>
    </w:p>
    <w:p>
      <w:pPr>
        <w:pStyle w:val="Style19"/>
        <w:spacing w:lineRule="auto" w:line="276" w:before="0" w:after="0"/>
        <w:ind w:firstLine="540"/>
        <w:jc w:val="both"/>
        <w:rPr/>
      </w:pPr>
      <w:r>
        <w:rPr/>
        <w:t>4.2.7. В целях осуществления проверок реализации инвестиционного проекта предоставлять доступ на объекты представителей Управления и иных лиц, привлеченных Управлением еженедельно.</w:t>
      </w:r>
    </w:p>
    <w:p>
      <w:pPr>
        <w:pStyle w:val="Style19"/>
        <w:spacing w:lineRule="auto" w:line="276" w:before="0" w:after="0"/>
        <w:ind w:firstLine="540"/>
        <w:jc w:val="both"/>
        <w:rPr/>
      </w:pPr>
      <w:r>
        <w:rPr/>
        <w:t xml:space="preserve">4.2.8. </w:t>
      </w:r>
      <w:r>
        <w:rPr>
          <w:sz w:val="28"/>
          <w:szCs w:val="28"/>
        </w:rPr>
        <w:t xml:space="preserve"> </w:t>
      </w:r>
      <w:r>
        <w:rPr/>
        <w:t xml:space="preserve"> Не позднее 10 дней с момента окончания периода, установленного для сдачи бухгалтерской и налоговой отчетности по итогам отчетного периода, предоставлять Управлению следующие документы:</w:t>
      </w:r>
    </w:p>
    <w:p>
      <w:pPr>
        <w:pStyle w:val="Style19"/>
        <w:spacing w:lineRule="auto" w:line="276" w:before="0" w:after="0"/>
        <w:ind w:firstLine="540"/>
        <w:jc w:val="both"/>
        <w:rPr/>
      </w:pPr>
      <w:r>
        <w:rPr/>
        <w:t>1) Отчет  о ходе реализации инвестиционного проекта по установленной форме (приложение № 3);</w:t>
      </w:r>
    </w:p>
    <w:p>
      <w:pPr>
        <w:pStyle w:val="Style19"/>
        <w:spacing w:lineRule="auto" w:line="276" w:before="0" w:after="0"/>
        <w:ind w:firstLine="540"/>
        <w:jc w:val="both"/>
        <w:rPr/>
      </w:pPr>
      <w:r>
        <w:rPr/>
        <w:t>2) Пояснительную записку о ходе реализации инвестиционного соглашения;</w:t>
      </w:r>
    </w:p>
    <w:p>
      <w:pPr>
        <w:pStyle w:val="Style19"/>
        <w:spacing w:lineRule="auto" w:line="276" w:before="0" w:after="0"/>
        <w:ind w:firstLine="540"/>
        <w:jc w:val="both"/>
        <w:rPr/>
      </w:pPr>
      <w:r>
        <w:rPr/>
        <w:t>3)  Другие документы, подтверждающие направление использования инвестиций (по требованию).</w:t>
      </w:r>
    </w:p>
    <w:p>
      <w:pPr>
        <w:pStyle w:val="Style19"/>
        <w:spacing w:lineRule="auto" w:line="276" w:before="0" w:after="0"/>
        <w:ind w:firstLine="540"/>
        <w:jc w:val="both"/>
        <w:rPr/>
      </w:pPr>
      <w:r>
        <w:rPr/>
        <w:t>4.2.9. В течение 7 (Семи) дней с момента подписания настоящего соглашения разработать и согласовать с Управлением график выполнения работ по форме, установленной в приложении № 1 к настоящему соглашению.</w:t>
      </w:r>
    </w:p>
    <w:p>
      <w:pPr>
        <w:pStyle w:val="Style19"/>
        <w:spacing w:lineRule="auto" w:line="276" w:before="0" w:after="0"/>
        <w:ind w:firstLine="540"/>
        <w:jc w:val="both"/>
        <w:rPr/>
      </w:pPr>
      <w:r>
        <w:rPr>
          <w:b/>
        </w:rPr>
        <w:t>4.3. Управление вправе:</w:t>
      </w:r>
    </w:p>
    <w:p>
      <w:pPr>
        <w:pStyle w:val="Style19"/>
        <w:spacing w:lineRule="auto" w:line="276" w:before="0" w:after="0"/>
        <w:ind w:firstLine="540"/>
        <w:jc w:val="both"/>
        <w:rPr/>
      </w:pPr>
      <w:r>
        <w:rPr/>
        <w:t xml:space="preserve">4.3.1. </w:t>
      </w:r>
      <w:r>
        <w:rPr>
          <w:color w:val="000000"/>
        </w:rPr>
        <w:t>Требовать от Инвестора надлежащего и своевременного выполнения обязательств, предусмотренных настоящим Соглашением.</w:t>
      </w:r>
    </w:p>
    <w:p>
      <w:pPr>
        <w:pStyle w:val="Style19"/>
        <w:spacing w:lineRule="auto" w:line="276" w:before="0" w:after="0"/>
        <w:ind w:firstLine="540"/>
        <w:jc w:val="both"/>
        <w:rPr/>
      </w:pPr>
      <w:r>
        <w:rPr/>
        <w:t>4.3.2. Требовать от Инвестора предоставления в установленные сроки и в полном объеме документов, указанных в пункте 4.2.8. настоящего Соглашения и информацию о ходе реализации инвестиционного проекта, выполнении обязательств по настоящему Соглашению;</w:t>
      </w:r>
    </w:p>
    <w:p>
      <w:pPr>
        <w:pStyle w:val="Style19"/>
        <w:spacing w:lineRule="auto" w:line="276" w:before="0" w:after="0"/>
        <w:ind w:firstLine="539"/>
        <w:jc w:val="both"/>
        <w:rPr/>
      </w:pPr>
      <w:r>
        <w:rPr/>
        <w:t>4.3.3. Инициировать проведение проверок технологических и временных параметров реализации инвестиционного проекта, в том числе с привлечением к проведению проверок уполномоченных организаций, а также консультантов и экспертов.</w:t>
      </w:r>
    </w:p>
    <w:p>
      <w:pPr>
        <w:pStyle w:val="Style19"/>
        <w:spacing w:lineRule="auto" w:line="276" w:before="0" w:after="0"/>
        <w:ind w:firstLine="540"/>
        <w:jc w:val="both"/>
        <w:rPr/>
      </w:pPr>
      <w:r>
        <w:rPr/>
        <w:t>4.3.4. Осуществлять еженедельный контроль за реализацией Инвестором инвестиционного проекта с начала проектирования объекта.</w:t>
      </w:r>
    </w:p>
    <w:p>
      <w:pPr>
        <w:pStyle w:val="Style19"/>
        <w:spacing w:lineRule="auto" w:line="276" w:before="0" w:after="0"/>
        <w:ind w:firstLine="539"/>
        <w:jc w:val="both"/>
        <w:rPr/>
      </w:pPr>
      <w:r>
        <w:rPr>
          <w:b/>
        </w:rPr>
        <w:t>4.4. Управление обязано:</w:t>
      </w:r>
    </w:p>
    <w:p>
      <w:pPr>
        <w:pStyle w:val="Style19"/>
        <w:spacing w:lineRule="auto" w:line="276" w:before="0" w:after="0"/>
        <w:ind w:firstLine="540"/>
        <w:jc w:val="both"/>
        <w:rPr/>
      </w:pPr>
      <w:r>
        <w:rPr/>
        <w:t>4.4.1. В течение трех рабочих дней с момента заключения инвестиционного соглашения передать Инвестору всю имеющуюся информацию по объектам, в рамках полномочий Управления.</w:t>
      </w:r>
    </w:p>
    <w:p>
      <w:pPr>
        <w:pStyle w:val="Style19"/>
        <w:spacing w:lineRule="auto" w:line="276" w:before="0" w:after="0"/>
        <w:ind w:firstLine="540"/>
        <w:jc w:val="both"/>
        <w:rPr/>
      </w:pPr>
      <w:r>
        <w:rPr>
          <w:rFonts w:cs="Calibri"/>
        </w:rPr>
        <w:t>4.4.2. Предоставлять  Инвестору иную документацию, необходимую для выполнения работ по Соглашению (при ее наличии).</w:t>
      </w:r>
    </w:p>
    <w:p>
      <w:pPr>
        <w:pStyle w:val="Style19"/>
        <w:spacing w:lineRule="auto" w:line="276" w:before="0" w:after="0"/>
        <w:ind w:firstLine="540"/>
        <w:jc w:val="both"/>
        <w:rPr/>
      </w:pPr>
      <w:r>
        <w:rPr/>
        <w:t>4.4.3. В пределах компетенции и полномочий обеспечить Инвестору необходимое содействие при реализации его прав, установленных настоящим Соглашением.</w:t>
      </w:r>
    </w:p>
    <w:p>
      <w:pPr>
        <w:pStyle w:val="Style19"/>
        <w:spacing w:lineRule="auto" w:line="276" w:before="0" w:after="0"/>
        <w:ind w:firstLine="540"/>
        <w:jc w:val="both"/>
        <w:rPr/>
      </w:pPr>
      <w:r>
        <w:rPr/>
        <w:t>4.4.4. По обращению Инвестора предоставить нефинансовые меры поддержки, установленные в п. 4.1. настоящего соглашения.</w:t>
      </w:r>
    </w:p>
    <w:p>
      <w:pPr>
        <w:pStyle w:val="Style19"/>
        <w:spacing w:lineRule="auto" w:line="276" w:before="0" w:after="0"/>
        <w:ind w:firstLine="540"/>
        <w:jc w:val="both"/>
        <w:rPr/>
      </w:pPr>
      <w:r>
        <w:rPr/>
        <w:t xml:space="preserve"> </w:t>
      </w:r>
      <w:r>
        <w:rPr/>
        <w:t>4.4.5. Предоставить Инвестору для ознакомления схему теплоснабжения за исключением сведений, отнесенных к государственной тайне, в течение 5 (пяти дней) с момента подписания инвестиционного Соглашения.</w:t>
      </w:r>
    </w:p>
    <w:p>
      <w:pPr>
        <w:pStyle w:val="Style19"/>
        <w:spacing w:lineRule="auto" w:line="276" w:before="0" w:after="0"/>
        <w:ind w:firstLine="540"/>
        <w:jc w:val="both"/>
        <w:rPr/>
      </w:pPr>
      <w:r>
        <w:rPr/>
        <w:t>4.4.6. Обеспечить предоставление Инвестору в установленном законодательством РФ порядке земельные участки в аренду на период строительства объекта.</w:t>
      </w:r>
    </w:p>
    <w:p>
      <w:pPr>
        <w:pStyle w:val="Style19"/>
        <w:spacing w:lineRule="auto" w:line="276" w:before="0" w:after="0"/>
        <w:ind w:firstLine="540"/>
        <w:jc w:val="both"/>
        <w:rPr/>
      </w:pPr>
      <w:r>
        <w:rPr/>
      </w:r>
    </w:p>
    <w:p>
      <w:pPr>
        <w:pStyle w:val="Style19"/>
        <w:bidi w:val="0"/>
        <w:spacing w:lineRule="auto" w:line="276" w:before="0" w:after="0"/>
        <w:jc w:val="center"/>
        <w:rPr/>
      </w:pPr>
      <w:r>
        <w:rPr>
          <w:b/>
          <w:bCs/>
        </w:rPr>
        <w:t>5. ОБЕСПЕЧЕНИЕ ИСПОЛНЕНИЯ СОГЛАШЕНИЯ</w:t>
      </w:r>
    </w:p>
    <w:p>
      <w:pPr>
        <w:pStyle w:val="Style19"/>
        <w:widowControl/>
        <w:suppressAutoHyphens w:val="true"/>
        <w:bidi w:val="0"/>
        <w:spacing w:lineRule="auto" w:line="276" w:before="0" w:after="0"/>
        <w:ind w:left="0" w:right="0" w:firstLine="510"/>
        <w:jc w:val="center"/>
        <w:rPr>
          <w:b w:val="false"/>
          <w:b w:val="false"/>
          <w:bCs w:val="false"/>
        </w:rPr>
      </w:pPr>
      <w:r>
        <w:rPr>
          <w:b w:val="false"/>
          <w:bCs w:val="false"/>
        </w:rPr>
        <w:t xml:space="preserve">5.1. Исполнение соглашения </w:t>
      </w:r>
      <w:r>
        <w:rPr>
          <w:b w:val="false"/>
          <w:bCs w:val="false"/>
        </w:rPr>
        <w:t>о</w:t>
      </w:r>
      <w:r>
        <w:rPr>
          <w:b w:val="false"/>
          <w:bCs w:val="false"/>
        </w:rPr>
        <w:t>беспечивается предоставлением безотзывной банковской гарантии, выданной банком и соответствующей действующему законодательству.</w:t>
      </w:r>
    </w:p>
    <w:p>
      <w:pPr>
        <w:pStyle w:val="Style19"/>
        <w:bidi w:val="0"/>
        <w:spacing w:lineRule="auto" w:line="276" w:before="0" w:after="0"/>
        <w:ind w:firstLine="540"/>
        <w:jc w:val="both"/>
        <w:rPr>
          <w:b w:val="false"/>
          <w:b w:val="false"/>
          <w:bCs w:val="false"/>
        </w:rPr>
      </w:pPr>
      <w:r>
        <w:rPr>
          <w:b w:val="false"/>
          <w:bCs w:val="false"/>
        </w:rPr>
        <w:t>5.2. Соглашение заключается после предоставления участником конкурса, с которым заключается соглашение, обеспечения исполнения соглашения в сумме 1 000 000 (Один миллион) рублей.</w:t>
      </w:r>
    </w:p>
    <w:p>
      <w:pPr>
        <w:pStyle w:val="Style19"/>
        <w:bidi w:val="0"/>
        <w:spacing w:lineRule="auto" w:line="276" w:before="0" w:after="0"/>
        <w:ind w:firstLine="540"/>
        <w:jc w:val="both"/>
        <w:rPr>
          <w:b w:val="false"/>
          <w:b w:val="false"/>
          <w:bCs w:val="false"/>
        </w:rPr>
      </w:pPr>
      <w:r>
        <w:rPr>
          <w:b w:val="false"/>
          <w:bCs w:val="false"/>
        </w:rPr>
        <w:t>5.3. В соответствии с указанной безотзывной банковской гарантией гарант должен взять на себя обязательство выплатить бенефициару (Управлению) сумму в размере 1 000 000 (Один миллион) рублей не позднее 15 календарных дней с момента получения письменного требования бенефициара (Управления), содержащего указание на то, что Инвестором (принципалом) не завершено в полном объеме в срок обозначенный в настоящем Соглашении строительство объектов настоящего Соглашения. Денежные средства безотзывной банковской гарантии за нарушение обязательств по инвестиционному соглашению перечисляются на реквизиты, указанные бенефициаром (Управлением) при условии предоставления надлежащим образом оформленных документов, подтверждающих факт неисполнения Принципалом (Инвестором) обязательств в сроки, предусмотренные настоящим Соглашением.</w:t>
      </w:r>
    </w:p>
    <w:p>
      <w:pPr>
        <w:pStyle w:val="Style19"/>
        <w:spacing w:lineRule="auto" w:line="276" w:before="0" w:after="0"/>
        <w:ind w:firstLine="540"/>
        <w:jc w:val="both"/>
        <w:rPr/>
      </w:pPr>
      <w:r>
        <w:rPr>
          <w:b w:val="false"/>
          <w:bCs w:val="false"/>
        </w:rPr>
        <w:t xml:space="preserve">5.4. Срок </w:t>
      </w:r>
      <w:r>
        <w:rPr/>
        <w:t xml:space="preserve">действия банковской гарантии – до 01 </w:t>
      </w:r>
      <w:r>
        <w:rPr/>
        <w:t>декабря</w:t>
      </w:r>
      <w:r>
        <w:rPr/>
        <w:t xml:space="preserve"> 2020 г.</w:t>
      </w:r>
    </w:p>
    <w:p>
      <w:pPr>
        <w:pStyle w:val="Style19"/>
        <w:spacing w:lineRule="auto" w:line="276" w:before="0" w:after="0"/>
        <w:ind w:firstLine="540"/>
        <w:jc w:val="both"/>
        <w:rPr/>
      </w:pPr>
      <w:r>
        <w:rPr/>
      </w:r>
    </w:p>
    <w:p>
      <w:pPr>
        <w:pStyle w:val="Style19"/>
        <w:spacing w:lineRule="auto" w:line="276"/>
        <w:jc w:val="center"/>
        <w:rPr/>
      </w:pPr>
      <w:r>
        <w:rPr/>
        <w:t>6. ОТВЕТСТВЕННОСТЬ СТОРОН</w:t>
      </w:r>
    </w:p>
    <w:p>
      <w:pPr>
        <w:pStyle w:val="Style19"/>
        <w:bidi w:val="0"/>
        <w:spacing w:lineRule="auto" w:line="276" w:before="0" w:after="0"/>
        <w:ind w:firstLine="540"/>
        <w:jc w:val="both"/>
        <w:rPr/>
      </w:pPr>
      <w:r>
        <w:rPr>
          <w:b/>
        </w:rPr>
        <w:t>6.1.</w:t>
      </w:r>
      <w:r>
        <w:rPr/>
        <w:t xml:space="preserve"> Инвестор несет ответственность перед Управлением за допущенные при строительстве объектов, предусмотренных настоящим Соглашением нарушения требований технических регламентов, проектной документации, иных обязательных требований к качеству объектов настоящего инвестиционного Соглашения.</w:t>
      </w:r>
    </w:p>
    <w:p>
      <w:pPr>
        <w:pStyle w:val="Style19"/>
        <w:bidi w:val="0"/>
        <w:spacing w:lineRule="auto" w:line="276" w:before="0" w:after="0"/>
        <w:ind w:firstLine="540"/>
        <w:jc w:val="both"/>
        <w:rPr/>
      </w:pPr>
      <w:r>
        <w:rPr>
          <w:b/>
        </w:rPr>
        <w:t>6.2</w:t>
      </w:r>
      <w:r>
        <w:rPr/>
        <w:t>. В случае нарушения срока ввода в эксплуатацию объектов настоящего соглашения, Инвестор обязан оплатить штраф Управлению в размере равном убыткам понесенным Управлением в виде компенсации некомпенсируемых финансовых убытков в  соответствии постановлением Правительства РФ от 06.09.2012г. № 889 «О выводе в ремонт и из эксплуатации источников тепловой энергии и тепловых сетей».</w:t>
      </w:r>
    </w:p>
    <w:p>
      <w:pPr>
        <w:pStyle w:val="Style19"/>
        <w:bidi w:val="0"/>
        <w:spacing w:lineRule="auto" w:line="276" w:before="0" w:after="0"/>
        <w:ind w:firstLine="540"/>
        <w:jc w:val="both"/>
        <w:rPr/>
      </w:pPr>
      <w:r>
        <w:rPr>
          <w:b/>
        </w:rPr>
        <w:t>6.3.</w:t>
      </w:r>
      <w:r>
        <w:rPr/>
        <w:t xml:space="preserve"> Управление вправе отказаться от исполнения обязательств и расторгнуть Соглашение в одностороннем порядке в случае невыполнения Инвестором сроков реализации настоящего соглашения (включая сроки строительства котельной, сроки ввода в эксплуатацию котельных), предупредив Инвестора письменно за 15 (пятнадцать) дней до расторжения.</w:t>
      </w:r>
    </w:p>
    <w:p>
      <w:pPr>
        <w:pStyle w:val="Style19"/>
        <w:bidi w:val="0"/>
        <w:spacing w:lineRule="auto" w:line="276" w:before="0" w:after="0"/>
        <w:jc w:val="both"/>
        <w:rPr/>
      </w:pPr>
      <w:r>
        <w:rPr/>
        <w:t>В этом случае Управление вправе передать права по реализации настоящего соглашения третьему лицу (новому Инвестору) в установленном законодательством РФ порядке.</w:t>
      </w:r>
    </w:p>
    <w:p>
      <w:pPr>
        <w:pStyle w:val="Style19"/>
        <w:shd w:fill="FFFFFF" w:val="clear"/>
        <w:bidi w:val="0"/>
        <w:spacing w:lineRule="auto" w:line="276" w:before="0" w:after="0"/>
        <w:ind w:firstLine="720"/>
        <w:jc w:val="both"/>
        <w:rPr/>
      </w:pPr>
      <w:r>
        <w:rPr>
          <w:b/>
        </w:rPr>
        <w:t>6.4.</w:t>
      </w:r>
      <w:r>
        <w:rPr/>
        <w:t xml:space="preserve"> При передаче прав по реализации настоящего соглашения третьему лицу возмещение Инвестору документально подтвержденных прямых затрат на строительство котельных производится новым Инвестором в течение 2 (Двух) месяцев с момента заключения с ним Соглашения.</w:t>
      </w:r>
    </w:p>
    <w:p>
      <w:pPr>
        <w:pStyle w:val="Style19"/>
        <w:shd w:fill="FFFFFF" w:val="clear"/>
        <w:bidi w:val="0"/>
        <w:spacing w:lineRule="auto" w:line="276" w:before="0" w:after="0"/>
        <w:ind w:firstLine="720"/>
        <w:jc w:val="both"/>
        <w:rPr/>
      </w:pPr>
      <w:r>
        <w:rPr/>
        <w:t>В сумму возмещения не включаются:  неполученные доходы и  убытки;  штрафы по просроченным ссудам и другим неисполненным обязательствам, связанным с реализацией проекта;  взносы по страхованию;    затраты по работам, не являющимся предметом настоящего соглашения;  затраты по другим работам, которые утратили свою ценность вследствие длительного неосвоения строительной площадки; затраты, понесенные Инвестором при участии в конкурсе по отбору инвесторов.</w:t>
      </w:r>
    </w:p>
    <w:p>
      <w:pPr>
        <w:pStyle w:val="Style19"/>
        <w:bidi w:val="0"/>
        <w:spacing w:lineRule="auto" w:line="276" w:before="0" w:after="0"/>
        <w:ind w:firstLine="540"/>
        <w:jc w:val="both"/>
        <w:rPr/>
      </w:pPr>
      <w:r>
        <w:rPr/>
      </w:r>
    </w:p>
    <w:p>
      <w:pPr>
        <w:pStyle w:val="Style19"/>
        <w:spacing w:lineRule="auto" w:line="276" w:before="0" w:after="0"/>
        <w:jc w:val="center"/>
        <w:rPr>
          <w:b/>
          <w:b/>
          <w:bCs/>
        </w:rPr>
      </w:pPr>
      <w:r>
        <w:rPr>
          <w:b/>
          <w:bCs/>
        </w:rPr>
        <w:t>7. СРОК ДЕЙСТВИЯ СОГЛАШЕНИЯ</w:t>
      </w:r>
    </w:p>
    <w:p>
      <w:pPr>
        <w:pStyle w:val="Style19"/>
        <w:spacing w:lineRule="auto" w:line="276" w:before="0" w:after="0"/>
        <w:ind w:firstLine="540"/>
        <w:jc w:val="both"/>
        <w:rPr/>
      </w:pPr>
      <w:r>
        <w:rPr>
          <w:b/>
        </w:rPr>
        <w:t>7.1.</w:t>
      </w:r>
      <w:r>
        <w:rPr/>
        <w:t xml:space="preserve"> Настоящее Соглашение вступает в силу с момента его подписания сторонами и действует до полного исполнения сторонами своих обязательств.</w:t>
      </w:r>
    </w:p>
    <w:p>
      <w:pPr>
        <w:pStyle w:val="Style19"/>
        <w:spacing w:lineRule="auto" w:line="276" w:before="0" w:after="0"/>
        <w:ind w:firstLine="540"/>
        <w:jc w:val="both"/>
        <w:rPr/>
      </w:pPr>
      <w:r>
        <w:rPr/>
      </w:r>
    </w:p>
    <w:p>
      <w:pPr>
        <w:pStyle w:val="Style19"/>
        <w:spacing w:lineRule="auto" w:line="276" w:before="0" w:after="0"/>
        <w:jc w:val="center"/>
        <w:rPr/>
      </w:pPr>
      <w:r>
        <w:rPr>
          <w:b/>
          <w:bCs/>
        </w:rPr>
        <w:t>8. ИЗМЕНЕНИЕ И ДОПОЛНЕНИЕ СОГЛАШЕНИЯ</w:t>
      </w:r>
    </w:p>
    <w:p>
      <w:pPr>
        <w:pStyle w:val="Style19"/>
        <w:spacing w:lineRule="auto" w:line="276" w:before="0" w:after="0"/>
        <w:jc w:val="both"/>
        <w:rPr/>
      </w:pPr>
      <w:r>
        <w:rPr>
          <w:b/>
        </w:rPr>
        <w:tab/>
        <w:t>8.1.</w:t>
      </w:r>
      <w:r>
        <w:rPr/>
        <w:t xml:space="preserve"> Все изменения и дополнения к настоящему Соглашению действительны при условии, если они совершены в письменной форме и подписаны Сторонами.</w:t>
      </w:r>
    </w:p>
    <w:p>
      <w:pPr>
        <w:pStyle w:val="ConsPlusNonformat"/>
        <w:spacing w:lineRule="auto" w:line="276" w:before="0" w:after="0"/>
        <w:ind w:firstLine="567"/>
        <w:jc w:val="both"/>
        <w:rPr>
          <w:rFonts w:ascii="Times New Roman" w:hAnsi="Times New Roman" w:cs="Times New Roman"/>
          <w:sz w:val="24"/>
          <w:szCs w:val="24"/>
        </w:rPr>
      </w:pPr>
      <w:r>
        <w:rPr>
          <w:rFonts w:cs="Times New Roman" w:ascii="Times New Roman" w:hAnsi="Times New Roman"/>
          <w:b/>
          <w:sz w:val="24"/>
          <w:szCs w:val="24"/>
        </w:rPr>
        <w:tab/>
        <w:t>8.2.</w:t>
      </w:r>
      <w:r>
        <w:rPr>
          <w:rFonts w:cs="Times New Roman" w:ascii="Times New Roman" w:hAnsi="Times New Roman"/>
          <w:sz w:val="24"/>
          <w:szCs w:val="24"/>
        </w:rPr>
        <w:t xml:space="preserve">  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получившая предложение о внесении изменений в настоящее Соглашение в течение  10 (Десяти) дней с  даты  получения  указанного  предложения  рассматривает  его и принимает решение  о  согласии  или  об  отказе внести изменения в условия настоящего Соглашения.</w:t>
      </w:r>
    </w:p>
    <w:p>
      <w:pPr>
        <w:pStyle w:val="Normal"/>
        <w:widowControl w:val="false"/>
        <w:ind w:firstLine="567"/>
        <w:jc w:val="both"/>
        <w:rPr>
          <w:rFonts w:ascii="Times New Roman" w:hAnsi="Times New Roman" w:cs="Times New Roman"/>
          <w:b/>
          <w:b/>
          <w:bCs/>
          <w:sz w:val="24"/>
          <w:szCs w:val="24"/>
        </w:rPr>
      </w:pPr>
      <w:r>
        <w:rPr>
          <w:rFonts w:cs="Times New Roman"/>
          <w:b/>
          <w:bCs/>
          <w:sz w:val="24"/>
          <w:szCs w:val="24"/>
        </w:rPr>
      </w:r>
    </w:p>
    <w:p>
      <w:pPr>
        <w:pStyle w:val="Style19"/>
        <w:spacing w:lineRule="auto" w:line="276" w:before="0" w:after="0"/>
        <w:jc w:val="center"/>
        <w:rPr>
          <w:b/>
          <w:b/>
          <w:bCs/>
        </w:rPr>
      </w:pPr>
      <w:r>
        <w:rPr>
          <w:b/>
          <w:bCs/>
        </w:rPr>
        <w:t>9. ФОРС-МАЖОР</w:t>
      </w:r>
    </w:p>
    <w:p>
      <w:pPr>
        <w:pStyle w:val="Style19"/>
        <w:spacing w:lineRule="auto" w:line="276" w:before="0" w:after="0"/>
        <w:ind w:firstLine="539"/>
        <w:jc w:val="both"/>
        <w:rPr/>
      </w:pPr>
      <w:r>
        <w:rPr>
          <w:b/>
        </w:rPr>
        <w:t>9.1.</w:t>
      </w:r>
      <w:r>
        <w:rPr/>
        <w:t xml:space="preserve">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возникших после заключения настоящего Соглашения, которые Стороны не могли предвидеть, предотвратить разумными мерами. К таким обстоятельствам относятся: стихийные бедствия (пожары, наводнения, землетрясения, ураганы, эпидемии и т.п.), бунты, гражданские волнения, восстания, войны, забастовки, а также запретительные акты органов государственной власти и местного самоуправления, препятствующие исполнению Сторонами обязательств по Соглашению.</w:t>
      </w:r>
    </w:p>
    <w:p>
      <w:pPr>
        <w:pStyle w:val="Style19"/>
        <w:spacing w:lineRule="auto" w:line="276" w:before="0" w:after="0"/>
        <w:ind w:firstLine="539"/>
        <w:jc w:val="both"/>
        <w:rPr/>
      </w:pPr>
      <w:r>
        <w:rPr>
          <w:b/>
        </w:rPr>
        <w:t>9.2.</w:t>
      </w:r>
      <w:r>
        <w:rPr/>
        <w:t xml:space="preserve"> Сторона, оказавшаяся не в состоянии исполнить обязательства по настоящему Соглашению в силу наступления обстоятельств непреодолимой силы, обязана в 10-дневный срок после наступления обстоятельств непреодолимой силы уведомить об этом другую Сторону в письменной форме.</w:t>
      </w:r>
    </w:p>
    <w:p>
      <w:pPr>
        <w:pStyle w:val="Style19"/>
        <w:spacing w:lineRule="auto" w:line="276" w:before="0" w:after="0"/>
        <w:ind w:firstLine="539"/>
        <w:jc w:val="both"/>
        <w:rPr/>
      </w:pPr>
      <w:r>
        <w:rPr/>
        <w:t>Неуведомление или несвоевременное уведомление о наступлении обстоятельств непреодолимой силы лишает Стороны права ссылаться на указанные обстоятельства как на форс-мажорные.</w:t>
      </w:r>
    </w:p>
    <w:p>
      <w:pPr>
        <w:pStyle w:val="Style19"/>
        <w:spacing w:lineRule="auto" w:line="276" w:before="0" w:after="0"/>
        <w:ind w:firstLine="539"/>
        <w:jc w:val="both"/>
        <w:rPr/>
      </w:pPr>
      <w:r>
        <w:rPr>
          <w:b/>
        </w:rPr>
        <w:t>9.3.</w:t>
      </w:r>
      <w:r>
        <w:rPr/>
        <w:t xml:space="preserve"> Если одна из Сторон окажется не в состоянии выполнить принятые на себя обязательства по настоящему Соглашению вследствие наступления обстоятельств непреодолимой силы в течение определенного времени, срок исполнения данных обязательств переносится на срок действия обстоятельств непреодолимой силы.</w:t>
      </w:r>
    </w:p>
    <w:p>
      <w:pPr>
        <w:pStyle w:val="Style19"/>
        <w:bidi w:val="0"/>
        <w:spacing w:lineRule="auto" w:line="276" w:before="0" w:after="0"/>
        <w:jc w:val="center"/>
        <w:rPr>
          <w:b/>
          <w:b/>
          <w:bCs/>
        </w:rPr>
      </w:pPr>
      <w:r>
        <w:rPr>
          <w:b/>
          <w:bCs/>
        </w:rPr>
        <w:t>10. ЗАКЛЮЧИТЕЛЬНЫЕ ПОЛОЖЕНИЯ</w:t>
      </w:r>
    </w:p>
    <w:p>
      <w:pPr>
        <w:pStyle w:val="Style15"/>
        <w:shd w:fill="FFFFFF" w:val="clear"/>
        <w:bidi w:val="0"/>
        <w:spacing w:lineRule="auto" w:line="276" w:before="0" w:after="0"/>
        <w:ind w:firstLine="567"/>
        <w:jc w:val="both"/>
        <w:rPr/>
      </w:pPr>
      <w:r>
        <w:rPr>
          <w:b/>
        </w:rPr>
        <w:t>10.1.</w:t>
      </w:r>
      <w:r>
        <w:rPr/>
        <w:t xml:space="preserve"> </w:t>
      </w:r>
      <w:r>
        <w:rPr>
          <w:lang w:val="ru-RU" w:eastAsia="ru-RU"/>
        </w:rPr>
        <w:t>Споры и разногласия, которые могут возникнуть при исполнении настоящего Соглашения, будут разрешаться  путем  переговоров между Сторонами, а также в претензионном порядке.</w:t>
      </w:r>
    </w:p>
    <w:p>
      <w:pPr>
        <w:pStyle w:val="Style15"/>
        <w:shd w:fill="FFFFFF" w:val="clear"/>
        <w:bidi w:val="0"/>
        <w:spacing w:lineRule="auto" w:line="276" w:before="0" w:after="0"/>
        <w:ind w:left="119" w:firstLine="448"/>
        <w:jc w:val="both"/>
        <w:rPr>
          <w:lang w:val="ru-RU" w:eastAsia="ru-RU"/>
        </w:rPr>
      </w:pPr>
      <w:r>
        <w:rPr>
          <w:b/>
        </w:rPr>
        <w:t xml:space="preserve">10.2. </w:t>
      </w:r>
      <w:r>
        <w:rPr>
          <w:lang w:val="ru-RU" w:eastAsia="ru-RU"/>
        </w:rPr>
        <w:t>В случае невозможности разрешения споров в претензионном порядке, стороны  передают их на рассмотрение в Арбитражный суд  Челябинской области.</w:t>
      </w:r>
    </w:p>
    <w:p>
      <w:pPr>
        <w:pStyle w:val="Style19"/>
        <w:bidi w:val="0"/>
        <w:spacing w:lineRule="auto" w:line="276" w:before="0" w:after="0"/>
        <w:ind w:firstLine="539"/>
        <w:jc w:val="both"/>
        <w:rPr/>
      </w:pPr>
      <w:r>
        <w:rPr>
          <w:b/>
        </w:rPr>
        <w:t>101.3.</w:t>
      </w:r>
      <w:r>
        <w:rPr/>
        <w:t xml:space="preserve"> Настоящее Соглашение составлено в 2-х (двух) экземплярах равной юридической силы, по одному для каждой из Сторон.</w:t>
      </w:r>
    </w:p>
    <w:p>
      <w:pPr>
        <w:pStyle w:val="Style19"/>
        <w:bidi w:val="0"/>
        <w:spacing w:lineRule="auto" w:line="276" w:before="0" w:after="0"/>
        <w:ind w:firstLine="539"/>
        <w:jc w:val="both"/>
        <w:rPr/>
      </w:pPr>
      <w:r>
        <w:rPr>
          <w:b/>
        </w:rPr>
        <w:t>10.4</w:t>
      </w:r>
      <w:r>
        <w:rPr/>
        <w:t>. Во всем остальном, что не предусмотрено настоящим Соглашением, стороны руководствуются действующим законодательством РФ и Челябинской области.</w:t>
      </w:r>
    </w:p>
    <w:p>
      <w:pPr>
        <w:pStyle w:val="Style19"/>
        <w:bidi w:val="0"/>
        <w:spacing w:lineRule="auto" w:line="276" w:before="0" w:after="0"/>
        <w:ind w:firstLine="539"/>
        <w:jc w:val="both"/>
        <w:rPr/>
      </w:pPr>
      <w:r>
        <w:rPr>
          <w:b/>
        </w:rPr>
        <w:t>10.5</w:t>
      </w:r>
      <w:r>
        <w:rPr/>
        <w:t>. Настоящее Соглашение, а также реализация его условий не могут ограничивать конкуренцию на рынке услуг и товаров, не преследуют целей, которые приводят или могут привести к недопущению, ограничению или устранению конкуренции.</w:t>
      </w:r>
    </w:p>
    <w:p>
      <w:pPr>
        <w:pStyle w:val="Style15"/>
        <w:bidi w:val="0"/>
        <w:spacing w:lineRule="auto" w:line="276" w:before="0" w:after="0"/>
        <w:ind w:firstLine="567"/>
        <w:jc w:val="both"/>
        <w:rPr/>
      </w:pPr>
      <w:r>
        <w:rPr>
          <w:b/>
        </w:rPr>
        <w:t>10.6.</w:t>
      </w:r>
      <w:r>
        <w:rPr/>
        <w:t xml:space="preserve"> Стороны обязаны уведомить друг друга обо всех изменениях, касающихся юридического статуса, адреса, названия, реорганизации и любой другой информации, имеющей значение для надлежащего выполнения своих обязательств по Соглашению, в течение пяти рабочих дней со дня возникновения изменений. Действия, совершенные по старым адресам и счетам, совершенные до получения уведомлений об их изменении, засчитываются в исполнение обязательств.</w:t>
      </w:r>
    </w:p>
    <w:p>
      <w:pPr>
        <w:pStyle w:val="Style15"/>
        <w:spacing w:lineRule="auto" w:line="276" w:before="0" w:after="0"/>
        <w:ind w:firstLine="567"/>
        <w:jc w:val="both"/>
        <w:rPr/>
      </w:pPr>
      <w:r>
        <w:rPr/>
      </w:r>
    </w:p>
    <w:p>
      <w:pPr>
        <w:pStyle w:val="Style15"/>
        <w:spacing w:lineRule="auto" w:line="276" w:before="0" w:after="0"/>
        <w:ind w:firstLine="567"/>
        <w:jc w:val="center"/>
        <w:rPr>
          <w:b/>
          <w:b/>
          <w:bCs/>
        </w:rPr>
      </w:pPr>
      <w:r>
        <w:rPr>
          <w:b/>
          <w:bCs/>
        </w:rPr>
        <w:t>11. ПРИЛОЖЕНИЯ</w:t>
      </w:r>
    </w:p>
    <w:p>
      <w:pPr>
        <w:pStyle w:val="Normal"/>
        <w:rPr/>
      </w:pPr>
      <w:r>
        <w:rPr/>
        <w:t>11.1. Приложение № 1 График производства работ (форма);</w:t>
      </w:r>
    </w:p>
    <w:p>
      <w:pPr>
        <w:pStyle w:val="Style15"/>
        <w:spacing w:lineRule="auto" w:line="276" w:before="0" w:after="0"/>
        <w:rPr/>
      </w:pPr>
      <w:r>
        <w:rPr/>
        <w:t>11.2. Приложение № 2 Техническое задание;</w:t>
      </w:r>
    </w:p>
    <w:p>
      <w:pPr>
        <w:pStyle w:val="Style15"/>
        <w:spacing w:lineRule="auto" w:line="276" w:before="0" w:after="0"/>
        <w:rPr/>
      </w:pPr>
      <w:r>
        <w:rPr/>
        <w:t>11.3. Приложение № 3 Отчет о ходе реализации инвестиционного проекта (форма).</w:t>
      </w:r>
    </w:p>
    <w:p>
      <w:pPr>
        <w:pStyle w:val="Style15"/>
        <w:spacing w:lineRule="auto" w:line="276" w:before="0" w:after="0"/>
        <w:ind w:firstLine="567"/>
        <w:jc w:val="both"/>
        <w:rPr/>
      </w:pPr>
      <w:r>
        <w:rPr/>
      </w:r>
    </w:p>
    <w:p>
      <w:pPr>
        <w:pStyle w:val="ConsNonformat"/>
        <w:suppressAutoHyphens w:val="false"/>
        <w:autoSpaceDE w:val="false"/>
        <w:spacing w:lineRule="auto" w:line="240"/>
        <w:ind w:left="360" w:hanging="0"/>
        <w:jc w:val="center"/>
        <w:rPr>
          <w:rFonts w:ascii="Times New Roman" w:hAnsi="Times New Roman" w:cs="Times New Roman"/>
          <w:b/>
          <w:b/>
          <w:sz w:val="24"/>
          <w:szCs w:val="24"/>
        </w:rPr>
      </w:pPr>
      <w:r>
        <w:rPr>
          <w:rFonts w:cs="Times New Roman" w:ascii="Times New Roman" w:hAnsi="Times New Roman"/>
          <w:b/>
          <w:sz w:val="24"/>
          <w:szCs w:val="24"/>
        </w:rPr>
        <w:t>12. АДРЕСА И БАНКОВСКИЕ РЕКВИЗИТЫ СТОРОН</w:t>
      </w:r>
    </w:p>
    <w:tbl>
      <w:tblPr>
        <w:tblW w:w="9570" w:type="dxa"/>
        <w:jc w:val="center"/>
        <w:tblInd w:w="0" w:type="dxa"/>
        <w:tblBorders/>
        <w:tblCellMar>
          <w:top w:w="105" w:type="dxa"/>
          <w:left w:w="105" w:type="dxa"/>
          <w:bottom w:w="105" w:type="dxa"/>
          <w:right w:w="105" w:type="dxa"/>
        </w:tblCellMar>
      </w:tblPr>
      <w:tblGrid>
        <w:gridCol w:w="5381"/>
        <w:gridCol w:w="4189"/>
      </w:tblGrid>
      <w:tr>
        <w:trPr/>
        <w:tc>
          <w:tcPr>
            <w:tcW w:w="5381" w:type="dxa"/>
            <w:tcBorders/>
            <w:shd w:fill="auto" w:val="clear"/>
          </w:tcPr>
          <w:p>
            <w:pPr>
              <w:pStyle w:val="Style19"/>
              <w:spacing w:lineRule="auto" w:line="276" w:before="280" w:after="280"/>
              <w:rPr>
                <w:b/>
                <w:b/>
              </w:rPr>
            </w:pPr>
            <w:r>
              <w:rPr>
                <w:b/>
              </w:rPr>
              <w:t>Управление</w:t>
            </w:r>
          </w:p>
          <w:p>
            <w:pPr>
              <w:pStyle w:val="Style19"/>
              <w:spacing w:lineRule="auto" w:line="276" w:before="280" w:after="280"/>
              <w:rPr>
                <w:b/>
                <w:b/>
                <w:sz w:val="22"/>
                <w:szCs w:val="22"/>
              </w:rPr>
            </w:pPr>
            <w:r>
              <w:rPr>
                <w:color w:val="000000"/>
                <w:sz w:val="22"/>
                <w:szCs w:val="22"/>
                <w:shd w:fill="FBFBFB" w:val="clear"/>
              </w:rPr>
              <w:t>Управление строительства и инфраструктуры администрации Каслинского муниципального</w:t>
            </w:r>
            <w:r>
              <w:rPr>
                <w:color w:val="000000"/>
                <w:sz w:val="22"/>
                <w:szCs w:val="22"/>
              </w:rPr>
              <w:br/>
            </w:r>
            <w:r>
              <w:rPr>
                <w:color w:val="000000"/>
                <w:sz w:val="22"/>
                <w:szCs w:val="22"/>
                <w:shd w:fill="FBFBFB" w:val="clear"/>
              </w:rPr>
              <w:t>района</w:t>
            </w:r>
            <w:r>
              <w:rPr>
                <w:color w:val="000000"/>
                <w:sz w:val="22"/>
                <w:szCs w:val="22"/>
              </w:rPr>
              <w:br/>
            </w:r>
            <w:r>
              <w:rPr>
                <w:color w:val="000000"/>
                <w:sz w:val="22"/>
                <w:szCs w:val="22"/>
                <w:shd w:fill="FBFBFB" w:val="clear"/>
              </w:rPr>
              <w:t>456835 Челябинская область, г. Касли,</w:t>
            </w:r>
            <w:r>
              <w:rPr>
                <w:color w:val="000000"/>
                <w:sz w:val="22"/>
                <w:szCs w:val="22"/>
              </w:rPr>
              <w:br/>
            </w:r>
            <w:r>
              <w:rPr>
                <w:color w:val="000000"/>
                <w:sz w:val="22"/>
                <w:szCs w:val="22"/>
                <w:shd w:fill="FBFBFB" w:val="clear"/>
              </w:rPr>
              <w:t>ул. Ленина, 55</w:t>
            </w:r>
            <w:r>
              <w:rPr>
                <w:color w:val="000000"/>
                <w:sz w:val="22"/>
                <w:szCs w:val="22"/>
              </w:rPr>
              <w:br/>
            </w:r>
            <w:r>
              <w:rPr>
                <w:color w:val="000000"/>
                <w:sz w:val="22"/>
                <w:szCs w:val="22"/>
                <w:shd w:fill="FBFBFB" w:val="clear"/>
              </w:rPr>
              <w:t>ИНН 7459003601 КПП 745901001</w:t>
            </w:r>
            <w:r>
              <w:rPr>
                <w:color w:val="000000"/>
                <w:sz w:val="22"/>
                <w:szCs w:val="22"/>
              </w:rPr>
              <w:br/>
            </w:r>
            <w:r>
              <w:rPr>
                <w:color w:val="000000"/>
                <w:sz w:val="22"/>
                <w:szCs w:val="22"/>
                <w:shd w:fill="FBFBFB" w:val="clear"/>
              </w:rPr>
              <w:t>ОГРН 1157459000148</w:t>
            </w:r>
            <w:r>
              <w:rPr>
                <w:color w:val="000000"/>
                <w:sz w:val="22"/>
                <w:szCs w:val="22"/>
              </w:rPr>
              <w:br/>
            </w:r>
            <w:r>
              <w:rPr>
                <w:color w:val="000000"/>
                <w:sz w:val="22"/>
                <w:szCs w:val="22"/>
                <w:shd w:fill="FBFBFB" w:val="clear"/>
              </w:rPr>
              <w:t>ОКПО 34528267 ОКТМО 75626000</w:t>
            </w:r>
            <w:r>
              <w:rPr>
                <w:color w:val="000000"/>
                <w:sz w:val="22"/>
                <w:szCs w:val="22"/>
              </w:rPr>
              <w:br/>
            </w:r>
            <w:r>
              <w:rPr>
                <w:color w:val="000000"/>
                <w:sz w:val="22"/>
                <w:szCs w:val="22"/>
                <w:shd w:fill="FBFBFB" w:val="clear"/>
              </w:rPr>
              <w:t>р/сч 40204810565770200178 в отделении</w:t>
            </w:r>
            <w:r>
              <w:rPr>
                <w:color w:val="000000"/>
                <w:sz w:val="22"/>
                <w:szCs w:val="22"/>
              </w:rPr>
              <w:br/>
            </w:r>
            <w:r>
              <w:rPr>
                <w:color w:val="000000"/>
                <w:sz w:val="22"/>
                <w:szCs w:val="22"/>
                <w:shd w:fill="FBFBFB" w:val="clear"/>
              </w:rPr>
              <w:t>Челябинск, г.Челябинск</w:t>
            </w:r>
            <w:r>
              <w:rPr>
                <w:color w:val="000000"/>
                <w:sz w:val="22"/>
                <w:szCs w:val="22"/>
              </w:rPr>
              <w:br/>
            </w:r>
            <w:r>
              <w:rPr>
                <w:color w:val="000000"/>
                <w:sz w:val="22"/>
                <w:szCs w:val="22"/>
                <w:shd w:fill="FBFBFB" w:val="clear"/>
              </w:rPr>
              <w:t>УФК по Челябинской области (фин.</w:t>
            </w:r>
            <w:r>
              <w:rPr>
                <w:color w:val="000000"/>
                <w:sz w:val="22"/>
                <w:szCs w:val="22"/>
              </w:rPr>
              <w:br/>
            </w:r>
            <w:r>
              <w:rPr>
                <w:color w:val="000000"/>
                <w:sz w:val="22"/>
                <w:szCs w:val="22"/>
                <w:shd w:fill="FBFBFB" w:val="clear"/>
              </w:rPr>
              <w:t>Управление КМР, Управление строительства </w:t>
            </w:r>
            <w:r>
              <w:rPr>
                <w:color w:val="000000"/>
                <w:sz w:val="22"/>
                <w:szCs w:val="22"/>
              </w:rPr>
              <w:br/>
            </w:r>
            <w:r>
              <w:rPr>
                <w:color w:val="000000"/>
                <w:sz w:val="22"/>
                <w:szCs w:val="22"/>
                <w:shd w:fill="FBFBFB" w:val="clear"/>
              </w:rPr>
              <w:t>КМР  л/сч  031676065ОБ)</w:t>
            </w:r>
            <w:r>
              <w:rPr>
                <w:color w:val="000000"/>
                <w:sz w:val="22"/>
                <w:szCs w:val="22"/>
              </w:rPr>
              <w:br/>
            </w:r>
            <w:r>
              <w:rPr>
                <w:color w:val="000000"/>
                <w:sz w:val="22"/>
                <w:szCs w:val="22"/>
                <w:shd w:fill="FBFBFB" w:val="clear"/>
              </w:rPr>
              <w:t>БИК 047501001</w:t>
            </w:r>
            <w:r>
              <w:rPr>
                <w:color w:val="000000"/>
                <w:sz w:val="22"/>
                <w:szCs w:val="22"/>
              </w:rPr>
              <w:br/>
            </w:r>
            <w:r>
              <w:rPr>
                <w:color w:val="000000"/>
                <w:sz w:val="22"/>
                <w:szCs w:val="22"/>
                <w:shd w:fill="FBFBFB" w:val="clear"/>
              </w:rPr>
              <w:t>Kmr.gkh@mail.ru</w:t>
            </w:r>
            <w:r>
              <w:rPr>
                <w:color w:val="000000"/>
                <w:sz w:val="22"/>
                <w:szCs w:val="22"/>
              </w:rPr>
              <w:br/>
            </w:r>
            <w:r>
              <w:rPr>
                <w:color w:val="000000"/>
                <w:sz w:val="22"/>
                <w:szCs w:val="22"/>
                <w:shd w:fill="FBFBFB" w:val="clear"/>
              </w:rPr>
              <w:t>Тел: 8 (35149) 2-25-48</w:t>
            </w:r>
            <w:r>
              <w:rPr>
                <w:color w:val="000000"/>
                <w:sz w:val="22"/>
                <w:szCs w:val="22"/>
              </w:rPr>
              <w:br/>
              <w:br/>
            </w:r>
            <w:r>
              <w:rPr>
                <w:color w:val="000000"/>
                <w:sz w:val="22"/>
                <w:szCs w:val="22"/>
                <w:shd w:fill="FBFBFB" w:val="clear"/>
              </w:rPr>
              <w:t>Заместитель главы</w:t>
            </w:r>
            <w:r>
              <w:rPr>
                <w:color w:val="000000"/>
                <w:sz w:val="22"/>
                <w:szCs w:val="22"/>
              </w:rPr>
              <w:br/>
            </w:r>
            <w:r>
              <w:rPr>
                <w:color w:val="000000"/>
                <w:sz w:val="22"/>
                <w:szCs w:val="22"/>
                <w:shd w:fill="FBFBFB" w:val="clear"/>
              </w:rPr>
              <w:t>Каслинского муниципального района </w:t>
            </w:r>
            <w:r>
              <w:rPr>
                <w:color w:val="000000"/>
                <w:sz w:val="22"/>
                <w:szCs w:val="22"/>
              </w:rPr>
              <w:br/>
              <w:br/>
            </w:r>
            <w:r>
              <w:rPr>
                <w:color w:val="000000"/>
                <w:sz w:val="22"/>
                <w:szCs w:val="22"/>
                <w:shd w:fill="FBFBFB" w:val="clear"/>
              </w:rPr>
              <w:t>______________________  В.В.Горобец</w:t>
            </w:r>
          </w:p>
        </w:tc>
        <w:tc>
          <w:tcPr>
            <w:tcW w:w="4189" w:type="dxa"/>
            <w:tcBorders/>
            <w:shd w:fill="auto" w:val="clear"/>
          </w:tcPr>
          <w:p>
            <w:pPr>
              <w:pStyle w:val="Normal"/>
              <w:spacing w:lineRule="auto" w:line="276"/>
              <w:rPr>
                <w:b/>
                <w:b/>
              </w:rPr>
            </w:pPr>
            <w:r>
              <w:rPr>
                <w:b/>
              </w:rPr>
              <w:t>Инвестор</w:t>
            </w:r>
          </w:p>
          <w:p>
            <w:pPr>
              <w:pStyle w:val="Normal"/>
              <w:spacing w:lineRule="auto" w:line="276"/>
              <w:rPr>
                <w:b/>
                <w:b/>
              </w:rPr>
            </w:pPr>
            <w:r>
              <w:rPr>
                <w:b/>
              </w:rPr>
            </w:r>
          </w:p>
          <w:p>
            <w:pPr>
              <w:pStyle w:val="Normal"/>
              <w:spacing w:lineRule="auto" w:line="276"/>
              <w:rPr/>
            </w:pPr>
            <w:r>
              <w:rPr/>
            </w:r>
          </w:p>
          <w:p>
            <w:pPr>
              <w:pStyle w:val="Normal"/>
              <w:spacing w:lineRule="auto" w:line="276"/>
              <w:rPr/>
            </w:pPr>
            <w:r>
              <w:rPr/>
            </w:r>
          </w:p>
          <w:p>
            <w:pPr>
              <w:pStyle w:val="Style19"/>
              <w:spacing w:lineRule="auto" w:line="276" w:before="280" w:after="280"/>
              <w:jc w:val="center"/>
              <w:rPr/>
            </w:pPr>
            <w:r>
              <w:rPr/>
            </w:r>
          </w:p>
        </w:tc>
      </w:tr>
    </w:tbl>
    <w:p>
      <w:pPr>
        <w:pStyle w:val="Normal"/>
        <w:jc w:val="right"/>
        <w:rPr/>
      </w:pPr>
      <w:r>
        <w:rPr/>
      </w:r>
    </w:p>
    <w:p>
      <w:pPr>
        <w:pStyle w:val="Normal"/>
        <w:jc w:val="right"/>
        <w:rPr/>
      </w:pPr>
      <w:r>
        <w:rPr/>
        <w:t>Приложение № 1</w:t>
      </w:r>
    </w:p>
    <w:p>
      <w:pPr>
        <w:pStyle w:val="Normal"/>
        <w:jc w:val="right"/>
        <w:rPr/>
      </w:pPr>
      <w:r>
        <w:rPr/>
        <w:t>к Инвестиционному соглашению</w:t>
      </w:r>
    </w:p>
    <w:p>
      <w:pPr>
        <w:pStyle w:val="Normal"/>
        <w:jc w:val="right"/>
        <w:rPr/>
      </w:pPr>
      <w:r>
        <w:rPr/>
        <w:t>от ______________ № _____</w:t>
      </w:r>
    </w:p>
    <w:p>
      <w:pPr>
        <w:pStyle w:val="Normal"/>
        <w:jc w:val="right"/>
        <w:rPr/>
      </w:pPr>
      <w:r>
        <w:rPr/>
      </w:r>
    </w:p>
    <w:p>
      <w:pPr>
        <w:pStyle w:val="Normal"/>
        <w:jc w:val="center"/>
        <w:rPr/>
      </w:pPr>
      <w:r>
        <w:rPr/>
        <w:t>(Форма)</w:t>
      </w:r>
    </w:p>
    <w:p>
      <w:pPr>
        <w:pStyle w:val="Normal"/>
        <w:jc w:val="center"/>
        <w:rPr/>
      </w:pPr>
      <w:r>
        <w:rPr/>
        <w:t>График производства работ</w:t>
      </w:r>
    </w:p>
    <w:p>
      <w:pPr>
        <w:pStyle w:val="Normal"/>
        <w:jc w:val="center"/>
        <w:rPr/>
      </w:pPr>
      <w:r>
        <w:rPr/>
      </w:r>
    </w:p>
    <w:p>
      <w:pPr>
        <w:pStyle w:val="Normal"/>
        <w:jc w:val="center"/>
        <w:rPr/>
      </w:pPr>
      <w:r>
        <w:rPr/>
      </w:r>
    </w:p>
    <w:tbl>
      <w:tblPr>
        <w:tblW w:w="9917"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977"/>
        <w:gridCol w:w="3453"/>
        <w:gridCol w:w="5487"/>
      </w:tblGrid>
      <w:tr>
        <w:trPr/>
        <w:tc>
          <w:tcPr>
            <w:tcW w:w="97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 xml:space="preserve">№ </w:t>
            </w:r>
            <w:r>
              <w:rPr/>
              <w:t>п/п</w:t>
            </w:r>
          </w:p>
        </w:tc>
        <w:tc>
          <w:tcPr>
            <w:tcW w:w="345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Сроки проведения работ</w:t>
            </w:r>
          </w:p>
        </w:tc>
        <w:tc>
          <w:tcPr>
            <w:tcW w:w="5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center"/>
              <w:rPr/>
            </w:pPr>
            <w:r>
              <w:rPr/>
              <w:t>Виды работ</w:t>
            </w:r>
          </w:p>
        </w:tc>
      </w:tr>
      <w:tr>
        <w:trPr/>
        <w:tc>
          <w:tcPr>
            <w:tcW w:w="97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345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5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center"/>
              <w:rPr/>
            </w:pPr>
            <w:r>
              <w:rPr/>
            </w:r>
          </w:p>
        </w:tc>
      </w:tr>
      <w:tr>
        <w:trPr/>
        <w:tc>
          <w:tcPr>
            <w:tcW w:w="97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345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5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center"/>
              <w:rPr/>
            </w:pPr>
            <w:r>
              <w:rPr/>
            </w:r>
          </w:p>
        </w:tc>
      </w:tr>
    </w:tbl>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rPr/>
      </w:pPr>
      <w:r>
        <w:rPr/>
        <w:t xml:space="preserve">Заместитель глава Каслинского </w:t>
        <w:tab/>
        <w:tab/>
        <w:tab/>
        <w:t>Инвестор</w:t>
      </w:r>
    </w:p>
    <w:p>
      <w:pPr>
        <w:pStyle w:val="Normal"/>
        <w:rPr/>
      </w:pPr>
      <w:r>
        <w:rPr/>
        <w:t>муниципального района</w:t>
      </w:r>
    </w:p>
    <w:p>
      <w:pPr>
        <w:pStyle w:val="Normal"/>
        <w:rPr/>
      </w:pPr>
      <w:r>
        <w:rPr/>
      </w:r>
    </w:p>
    <w:p>
      <w:pPr>
        <w:pStyle w:val="Normal"/>
        <w:rPr/>
      </w:pPr>
      <w:r>
        <w:rPr/>
        <w:t>______________ В.В. Горобец</w:t>
        <w:tab/>
        <w:tab/>
        <w:tab/>
        <w:t xml:space="preserve">________________                                   </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t xml:space="preserve">Приложение № 2 </w:t>
      </w:r>
    </w:p>
    <w:p>
      <w:pPr>
        <w:pStyle w:val="Normal"/>
        <w:jc w:val="right"/>
        <w:rPr/>
      </w:pPr>
      <w:r>
        <w:rPr/>
        <w:t>к инвестиционному соглашению</w:t>
      </w:r>
    </w:p>
    <w:p>
      <w:pPr>
        <w:pStyle w:val="Normal"/>
        <w:jc w:val="right"/>
        <w:rPr/>
      </w:pPr>
      <w:r>
        <w:rPr/>
        <w:t xml:space="preserve">от «___»__________201__г. </w:t>
      </w:r>
    </w:p>
    <w:p>
      <w:pPr>
        <w:pStyle w:val="Normal"/>
        <w:jc w:val="right"/>
        <w:rPr/>
      </w:pPr>
      <w:r>
        <w:rPr/>
      </w:r>
    </w:p>
    <w:p>
      <w:pPr>
        <w:pStyle w:val="Normal"/>
        <w:jc w:val="center"/>
        <w:rPr/>
      </w:pPr>
      <w:r>
        <w:rPr/>
      </w:r>
    </w:p>
    <w:p>
      <w:pPr>
        <w:pStyle w:val="Normal"/>
        <w:jc w:val="center"/>
        <w:rPr>
          <w:b/>
          <w:b/>
        </w:rPr>
      </w:pPr>
      <w:r>
        <w:rPr>
          <w:b/>
        </w:rPr>
        <w:t xml:space="preserve">Техническое задание </w:t>
      </w:r>
    </w:p>
    <w:p>
      <w:pPr>
        <w:pStyle w:val="Normal"/>
        <w:jc w:val="center"/>
        <w:rPr>
          <w:b/>
          <w:b/>
        </w:rPr>
      </w:pPr>
      <w:r>
        <w:rPr>
          <w:b/>
        </w:rPr>
        <w:t xml:space="preserve">на строительство газовой котельной расположенной по адресу: </w:t>
      </w:r>
    </w:p>
    <w:p>
      <w:pPr>
        <w:pStyle w:val="Normal"/>
        <w:jc w:val="center"/>
        <w:rPr>
          <w:sz w:val="16"/>
          <w:szCs w:val="16"/>
        </w:rPr>
      </w:pPr>
      <w:r>
        <w:rPr>
          <w:sz w:val="16"/>
          <w:szCs w:val="16"/>
        </w:rPr>
        <w:t>Челябинская область, Каслинский района, поселок Береговой пер. Больничный</w:t>
      </w:r>
    </w:p>
    <w:tbl>
      <w:tblPr>
        <w:tblW w:w="9917"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467"/>
        <w:gridCol w:w="3745"/>
        <w:gridCol w:w="5705"/>
      </w:tblGrid>
      <w:tr>
        <w:trPr/>
        <w:tc>
          <w:tcPr>
            <w:tcW w:w="46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1</w:t>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Наименование объекта, адрес</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Газовая котельная полезной тепловой нагрузкой              13,25 Гкал/ч (15,41 МВт).</w:t>
            </w:r>
          </w:p>
          <w:p>
            <w:pPr>
              <w:pStyle w:val="Normal"/>
              <w:rPr/>
            </w:pPr>
            <w:r>
              <w:rPr/>
              <w:t>, Челябинская область, Каслинский района, поселок Береговой,  пер. Больничный.</w:t>
            </w:r>
          </w:p>
        </w:tc>
      </w:tr>
      <w:tr>
        <w:trPr/>
        <w:tc>
          <w:tcPr>
            <w:tcW w:w="46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2</w:t>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Цель выполнения работ</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Строительство новой газовой котельной для обеспечения зданий и сооружений бесперебойным снабжением тепловой энергией.</w:t>
            </w:r>
          </w:p>
        </w:tc>
      </w:tr>
      <w:tr>
        <w:trPr/>
        <w:tc>
          <w:tcPr>
            <w:tcW w:w="46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3</w:t>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Источник финансирования</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Собственные или привлеченные средства инвестора</w:t>
            </w:r>
          </w:p>
        </w:tc>
      </w:tr>
      <w:tr>
        <w:trPr>
          <w:trHeight w:val="315" w:hRule="atLeast"/>
          <w:cantSplit w:val="true"/>
        </w:trPr>
        <w:tc>
          <w:tcPr>
            <w:tcW w:w="467"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4</w:t>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Основные технические показатели</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rPr/>
            </w:pPr>
            <w:r>
              <w:rPr/>
            </w:r>
          </w:p>
        </w:tc>
      </w:tr>
      <w:tr>
        <w:trPr>
          <w:trHeight w:val="315" w:hRule="atLeast"/>
          <w:cantSplit w:val="true"/>
        </w:trPr>
        <w:tc>
          <w:tcPr>
            <w:tcW w:w="46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4.1. Вид топлива</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Основное – природный газ</w:t>
            </w:r>
          </w:p>
        </w:tc>
      </w:tr>
      <w:tr>
        <w:trPr>
          <w:trHeight w:val="522" w:hRule="atLeast"/>
          <w:cantSplit w:val="true"/>
        </w:trPr>
        <w:tc>
          <w:tcPr>
            <w:tcW w:w="46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4.2. Назначение котельной</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Выработка тепловой энергии для обеспечения отопления зданий и сооружений</w:t>
            </w:r>
          </w:p>
        </w:tc>
      </w:tr>
      <w:tr>
        <w:trPr>
          <w:trHeight w:val="485" w:hRule="atLeast"/>
          <w:cantSplit w:val="true"/>
        </w:trPr>
        <w:tc>
          <w:tcPr>
            <w:tcW w:w="46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4.3. Система теплоснабжения</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Открытая, с перспективой перевода на закрытую систему теплоснабжения</w:t>
            </w:r>
          </w:p>
        </w:tc>
      </w:tr>
      <w:tr>
        <w:trPr>
          <w:trHeight w:val="762" w:hRule="atLeast"/>
          <w:cantSplit w:val="true"/>
        </w:trPr>
        <w:tc>
          <w:tcPr>
            <w:tcW w:w="46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4.4. Температурный график</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 На отопление и вентиляцию 95-70Сº;</w:t>
            </w:r>
          </w:p>
          <w:p>
            <w:pPr>
              <w:pStyle w:val="Normal"/>
              <w:rPr/>
            </w:pPr>
            <w:r>
              <w:rPr/>
              <w:t>- На ГВС 75-60Сº.</w:t>
            </w:r>
          </w:p>
        </w:tc>
      </w:tr>
      <w:tr>
        <w:trPr>
          <w:trHeight w:val="384" w:hRule="atLeast"/>
          <w:cantSplit w:val="true"/>
        </w:trPr>
        <w:tc>
          <w:tcPr>
            <w:tcW w:w="46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4.5. Полезная тепловая нагрузка</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8,6  Гкал/час, в том числе ГВС 1,48 Гкал/час</w:t>
            </w:r>
          </w:p>
        </w:tc>
      </w:tr>
      <w:tr>
        <w:trPr>
          <w:trHeight w:val="720" w:hRule="atLeast"/>
          <w:cantSplit w:val="true"/>
        </w:trPr>
        <w:tc>
          <w:tcPr>
            <w:tcW w:w="46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4.6. Котельная по целевому назначению</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Отопительная, возможность применения блочно-модульной котельной определить проектом.</w:t>
            </w:r>
          </w:p>
        </w:tc>
      </w:tr>
      <w:tr>
        <w:trPr/>
        <w:tc>
          <w:tcPr>
            <w:tcW w:w="46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5.</w:t>
            </w:r>
          </w:p>
        </w:tc>
        <w:tc>
          <w:tcPr>
            <w:tcW w:w="374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Общие требования</w:t>
            </w:r>
          </w:p>
        </w:tc>
        <w:tc>
          <w:tcPr>
            <w:tcW w:w="57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rPr/>
            </w:pPr>
            <w:r>
              <w:rPr/>
              <w:t>Выполнить требования следующих нормативных документов:</w:t>
            </w:r>
          </w:p>
          <w:p>
            <w:pPr>
              <w:pStyle w:val="Normal"/>
              <w:numPr>
                <w:ilvl w:val="0"/>
                <w:numId w:val="3"/>
              </w:numPr>
              <w:suppressAutoHyphens w:val="false"/>
              <w:ind w:left="44" w:firstLine="316"/>
              <w:rPr/>
            </w:pPr>
            <w:r>
              <w:rPr>
                <w:lang w:eastAsia="ru-RU"/>
              </w:rPr>
              <w:t>СНиП II-35-76 Котельные установки</w:t>
            </w:r>
            <w:r>
              <w:rPr/>
              <w:t>;</w:t>
            </w:r>
          </w:p>
          <w:p>
            <w:pPr>
              <w:pStyle w:val="Normal"/>
              <w:numPr>
                <w:ilvl w:val="0"/>
                <w:numId w:val="3"/>
              </w:numPr>
              <w:suppressAutoHyphens w:val="false"/>
              <w:ind w:left="44" w:firstLine="316"/>
              <w:rPr/>
            </w:pPr>
            <w:r>
              <w:rPr/>
              <w:t>СНиП 3.05.01-85 Внутренние санитарно-технические системы;</w:t>
            </w:r>
          </w:p>
          <w:p>
            <w:pPr>
              <w:pStyle w:val="Normal"/>
              <w:numPr>
                <w:ilvl w:val="0"/>
                <w:numId w:val="3"/>
              </w:numPr>
              <w:suppressAutoHyphens w:val="false"/>
              <w:ind w:left="44" w:firstLine="316"/>
              <w:rPr>
                <w:lang w:eastAsia="ru-RU"/>
              </w:rPr>
            </w:pPr>
            <w:r>
              <w:rPr>
                <w:lang w:eastAsia="ru-RU"/>
              </w:rPr>
              <w:t xml:space="preserve">СНиП 41-01-2003 Отопление, вентиляция и кондиционирование воздуха" </w:t>
            </w:r>
          </w:p>
          <w:p>
            <w:pPr>
              <w:pStyle w:val="Normal"/>
              <w:numPr>
                <w:ilvl w:val="0"/>
                <w:numId w:val="3"/>
              </w:numPr>
              <w:suppressAutoHyphens w:val="false"/>
              <w:ind w:left="44" w:firstLine="316"/>
              <w:rPr/>
            </w:pPr>
            <w:r>
              <w:rPr/>
              <w:t>СНиП 21-01-97 Пожарная безопасность зданий и сооружений;</w:t>
            </w:r>
          </w:p>
          <w:p>
            <w:pPr>
              <w:pStyle w:val="Normal"/>
              <w:numPr>
                <w:ilvl w:val="0"/>
                <w:numId w:val="3"/>
              </w:numPr>
              <w:suppressAutoHyphens w:val="false"/>
              <w:ind w:left="44" w:firstLine="316"/>
              <w:rPr>
                <w:lang w:eastAsia="ru-RU"/>
              </w:rPr>
            </w:pPr>
            <w:r>
              <w:rPr>
                <w:lang w:eastAsia="ru-RU"/>
              </w:rPr>
              <w:t xml:space="preserve">СНиП 41-03-2003 Тепловая изоляция оборудования и трубопроводов; </w:t>
            </w:r>
          </w:p>
          <w:p>
            <w:pPr>
              <w:pStyle w:val="Normal"/>
              <w:numPr>
                <w:ilvl w:val="0"/>
                <w:numId w:val="3"/>
              </w:numPr>
              <w:ind w:left="44" w:firstLine="316"/>
              <w:rPr/>
            </w:pPr>
            <w:r>
              <w:rPr/>
              <w:t xml:space="preserve">Приказ Ростехнадзора от 15.11.2013 N 542 "Об утверждении федеральных норм и правил в области промышленной безопасности "Правила безопасности сетей газораспределения и газопотребления" </w:t>
            </w:r>
          </w:p>
          <w:p>
            <w:pPr>
              <w:pStyle w:val="Normal"/>
              <w:ind w:firstLine="432"/>
              <w:rPr/>
            </w:pPr>
            <w:r>
              <w:rPr/>
              <w:t>Получить технические условия на подключение к действующим инженерным сетям.</w:t>
            </w:r>
          </w:p>
          <w:p>
            <w:pPr>
              <w:pStyle w:val="Normal"/>
              <w:ind w:firstLine="432"/>
              <w:rPr/>
            </w:pPr>
            <w:r>
              <w:rPr/>
              <w:t>Выполнить проектно-сметную документацию и выполнить работы в соответствии с техническими условиями</w:t>
            </w:r>
          </w:p>
        </w:tc>
      </w:tr>
    </w:tbl>
    <w:p>
      <w:pPr>
        <w:pStyle w:val="Normal"/>
        <w:rPr/>
      </w:pPr>
      <w:r>
        <w:rPr/>
      </w:r>
    </w:p>
    <w:p>
      <w:pPr>
        <w:sectPr>
          <w:type w:val="nextPage"/>
          <w:pgSz w:w="11906" w:h="16838"/>
          <w:pgMar w:left="1349" w:right="867" w:header="0" w:top="651" w:footer="0" w:bottom="651" w:gutter="0"/>
          <w:pgNumType w:fmt="decimal"/>
          <w:formProt w:val="false"/>
          <w:textDirection w:val="lrTb"/>
          <w:docGrid w:type="default" w:linePitch="326" w:charSpace="0"/>
        </w:sectPr>
        <w:pStyle w:val="Normal"/>
        <w:rPr/>
      </w:pPr>
      <w:r>
        <w:rPr/>
      </w:r>
    </w:p>
    <w:p>
      <w:pPr>
        <w:pStyle w:val="Style25"/>
        <w:spacing w:before="0" w:after="0"/>
        <w:ind w:firstLine="601"/>
        <w:rPr/>
      </w:pPr>
      <w:r>
        <w:rPr/>
        <w:tab/>
        <w:tab/>
        <w:tab/>
        <w:tab/>
        <w:tab/>
        <w:tab/>
        <w:tab/>
        <w:tab/>
        <w:tab/>
        <w:tab/>
        <w:tab/>
        <w:tab/>
        <w:tab/>
        <w:tab/>
        <w:tab/>
        <w:tab/>
        <w:t>Приложение № 3</w:t>
      </w:r>
    </w:p>
    <w:p>
      <w:pPr>
        <w:pStyle w:val="Style25"/>
        <w:spacing w:before="0" w:after="0"/>
        <w:ind w:firstLine="601"/>
        <w:rPr/>
      </w:pPr>
      <w:r>
        <w:rPr/>
        <w:tab/>
        <w:tab/>
        <w:tab/>
        <w:tab/>
        <w:tab/>
        <w:tab/>
        <w:tab/>
        <w:tab/>
        <w:tab/>
        <w:tab/>
        <w:tab/>
        <w:tab/>
        <w:tab/>
        <w:tab/>
        <w:tab/>
        <w:tab/>
        <w:t>К инвестиционному соглашению</w:t>
      </w:r>
    </w:p>
    <w:p>
      <w:pPr>
        <w:pStyle w:val="Style25"/>
        <w:spacing w:before="0" w:after="0"/>
        <w:ind w:firstLine="601"/>
        <w:rPr/>
      </w:pPr>
      <w:r>
        <w:rPr/>
      </w:r>
    </w:p>
    <w:p>
      <w:pPr>
        <w:pStyle w:val="Style25"/>
        <w:spacing w:before="0" w:after="0"/>
        <w:ind w:firstLine="601"/>
        <w:rPr/>
      </w:pPr>
      <w:r>
        <w:rPr/>
      </w:r>
    </w:p>
    <w:p>
      <w:pPr>
        <w:pStyle w:val="Style25"/>
        <w:spacing w:before="0" w:after="0"/>
        <w:ind w:firstLine="601"/>
        <w:rPr>
          <w:sz w:val="28"/>
          <w:szCs w:val="28"/>
        </w:rPr>
      </w:pPr>
      <w:r>
        <w:rPr/>
        <w:t>Таблица 1.</w:t>
      </w:r>
    </w:p>
    <w:p>
      <w:pPr>
        <w:pStyle w:val="Normal"/>
        <w:widowControl w:val="false"/>
        <w:ind w:firstLine="709"/>
        <w:jc w:val="both"/>
        <w:rPr>
          <w:sz w:val="28"/>
          <w:szCs w:val="28"/>
        </w:rPr>
      </w:pPr>
      <w:r>
        <w:rPr>
          <w:sz w:val="28"/>
          <w:szCs w:val="28"/>
        </w:rPr>
      </w:r>
      <w:r>
        <mc:AlternateContent>
          <mc:Choice Requires="wps">
            <w:drawing>
              <wp:anchor behindDoc="0" distT="0" distB="0" distL="114300" distR="114300" simplePos="0" locked="0" layoutInCell="1" allowOverlap="1" relativeHeight="2">
                <wp:simplePos x="0" y="0"/>
                <wp:positionH relativeFrom="margin">
                  <wp:align>center</wp:align>
                </wp:positionH>
                <wp:positionV relativeFrom="paragraph">
                  <wp:posOffset>120015</wp:posOffset>
                </wp:positionV>
                <wp:extent cx="9860280" cy="4178300"/>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9860280" cy="4178300"/>
                        </a:xfrm>
                        <a:prstGeom prst="rect"/>
                        <a:solidFill>
                          <a:srgbClr val="FFFFFF">
                            <a:alpha val="0"/>
                          </a:srgbClr>
                        </a:solidFill>
                      </wps:spPr>
                      <wps:txbx>
                        <w:txbxContent>
                          <w:tbl>
                            <w:tblPr>
                              <w:tblW w:w="15528" w:type="dxa"/>
                              <w:jc w:val="left"/>
                              <w:tblInd w:w="108" w:type="dxa"/>
                              <w:tblBorders>
                                <w:bottom w:val="single" w:sz="4" w:space="0" w:color="000000"/>
                                <w:insideH w:val="single" w:sz="4" w:space="0" w:color="000000"/>
                              </w:tblBorders>
                              <w:tblCellMar>
                                <w:top w:w="0" w:type="dxa"/>
                                <w:left w:w="108" w:type="dxa"/>
                                <w:bottom w:w="0" w:type="dxa"/>
                                <w:right w:w="108" w:type="dxa"/>
                              </w:tblCellMar>
                            </w:tblPr>
                            <w:tblGrid>
                              <w:gridCol w:w="579"/>
                              <w:gridCol w:w="708"/>
                              <w:gridCol w:w="426"/>
                              <w:gridCol w:w="567"/>
                              <w:gridCol w:w="708"/>
                              <w:gridCol w:w="709"/>
                              <w:gridCol w:w="709"/>
                              <w:gridCol w:w="722"/>
                              <w:gridCol w:w="554"/>
                              <w:gridCol w:w="709"/>
                              <w:gridCol w:w="709"/>
                              <w:gridCol w:w="566"/>
                              <w:gridCol w:w="567"/>
                              <w:gridCol w:w="709"/>
                              <w:gridCol w:w="567"/>
                              <w:gridCol w:w="567"/>
                              <w:gridCol w:w="567"/>
                              <w:gridCol w:w="567"/>
                              <w:gridCol w:w="567"/>
                              <w:gridCol w:w="680"/>
                              <w:gridCol w:w="596"/>
                              <w:gridCol w:w="746"/>
                              <w:gridCol w:w="709"/>
                              <w:gridCol w:w="1000"/>
                              <w:gridCol w:w="10"/>
                              <w:gridCol w:w="10"/>
                            </w:tblGrid>
                            <w:tr>
                              <w:trPr>
                                <w:trHeight w:val="432" w:hRule="atLeast"/>
                              </w:trPr>
                              <w:tc>
                                <w:tcPr>
                                  <w:tcW w:w="15508" w:type="dxa"/>
                                  <w:gridSpan w:val="24"/>
                                  <w:tcBorders>
                                    <w:bottom w:val="single" w:sz="4" w:space="0" w:color="000000"/>
                                    <w:insideH w:val="single" w:sz="4" w:space="0" w:color="000000"/>
                                  </w:tcBorders>
                                  <w:shd w:fill="auto" w:val="clear"/>
                                  <w:vAlign w:val="center"/>
                                </w:tcPr>
                                <w:p>
                                  <w:pPr>
                                    <w:pStyle w:val="Normal"/>
                                    <w:jc w:val="center"/>
                                    <w:rPr/>
                                  </w:pPr>
                                  <w:r>
                                    <w:rPr>
                                      <w:bCs/>
                                      <w:color w:val="000000"/>
                                    </w:rPr>
                                    <w:t>Отчет о ходе реализации инвестиционного проекта на территории поселка Береговой Каслинского муниципального района на дд.мм.гг.</w:t>
                                  </w:r>
                                </w:p>
                              </w:tc>
                            </w:tr>
                            <w:tr>
                              <w:trPr>
                                <w:trHeight w:val="390" w:hRule="atLeast"/>
                                <w:cantSplit w:val="true"/>
                              </w:trPr>
                              <w:tc>
                                <w:tcPr>
                                  <w:tcW w:w="579" w:type="dxa"/>
                                  <w:vMerge w:val="restart"/>
                                  <w:tcBorders>
                                    <w:top w:val="single" w:sz="4" w:space="0" w:color="000000"/>
                                    <w:left w:val="single" w:sz="8" w:space="0" w:color="000000"/>
                                    <w:bottom w:val="single" w:sz="4" w:space="0" w:color="000000"/>
                                    <w:insideH w:val="single" w:sz="4" w:space="0" w:color="000000"/>
                                  </w:tcBorders>
                                  <w:shd w:fill="auto" w:val="clear"/>
                                  <w:tcMar>
                                    <w:left w:w="98" w:type="dxa"/>
                                  </w:tcMar>
                                  <w:vAlign w:val="center"/>
                                </w:tcPr>
                                <w:p>
                                  <w:pPr>
                                    <w:pStyle w:val="Normal"/>
                                    <w:jc w:val="center"/>
                                    <w:rPr>
                                      <w:bCs/>
                                      <w:color w:val="000000"/>
                                    </w:rPr>
                                  </w:pPr>
                                  <w:r>
                                    <w:rPr>
                                      <w:bCs/>
                                      <w:color w:val="000000"/>
                                    </w:rPr>
                                    <w:t xml:space="preserve">№ </w:t>
                                  </w:r>
                                  <w:r>
                                    <w:rPr>
                                      <w:bCs/>
                                      <w:color w:val="000000"/>
                                    </w:rPr>
                                    <w:t>п/п</w:t>
                                  </w:r>
                                </w:p>
                              </w:tc>
                              <w:tc>
                                <w:tcPr>
                                  <w:tcW w:w="708" w:type="dxa"/>
                                  <w:vMerge w:val="restart"/>
                                  <w:tcBorders>
                                    <w:top w:val="single" w:sz="4" w:space="0" w:color="000000"/>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Наименование инвестиционного проекта</w:t>
                                  </w:r>
                                </w:p>
                              </w:tc>
                              <w:tc>
                                <w:tcPr>
                                  <w:tcW w:w="426"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Инициатор проекта</w:t>
                                  </w:r>
                                </w:p>
                              </w:tc>
                              <w:tc>
                                <w:tcPr>
                                  <w:tcW w:w="567"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Срок реализации проекта</w:t>
                                  </w:r>
                                </w:p>
                              </w:tc>
                              <w:tc>
                                <w:tcPr>
                                  <w:tcW w:w="708" w:type="dxa"/>
                                  <w:vMerge w:val="restart"/>
                                  <w:tcBorders>
                                    <w:top w:val="single" w:sz="4" w:space="0" w:color="000000"/>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Общая сметная стоимость проекта, тыс. руб.</w:t>
                                  </w:r>
                                </w:p>
                              </w:tc>
                              <w:tc>
                                <w:tcPr>
                                  <w:tcW w:w="7655" w:type="dxa"/>
                                  <w:gridSpan w:val="12"/>
                                  <w:tcBorders>
                                    <w:top w:val="single" w:sz="4" w:space="0" w:color="000000"/>
                                    <w:left w:val="single" w:sz="4" w:space="0" w:color="000000"/>
                                  </w:tcBorders>
                                  <w:shd w:fill="auto" w:val="clear"/>
                                  <w:tcMar>
                                    <w:left w:w="103" w:type="dxa"/>
                                  </w:tcMar>
                                  <w:vAlign w:val="center"/>
                                </w:tcPr>
                                <w:p>
                                  <w:pPr>
                                    <w:pStyle w:val="Normal"/>
                                    <w:jc w:val="center"/>
                                    <w:rPr>
                                      <w:bCs/>
                                      <w:color w:val="000000"/>
                                    </w:rPr>
                                  </w:pPr>
                                  <w:r>
                                    <w:rPr>
                                      <w:bCs/>
                                      <w:color w:val="000000"/>
                                    </w:rPr>
                                    <w:t>Финансирование проекта, тыс.руб.</w:t>
                                  </w:r>
                                </w:p>
                              </w:tc>
                              <w:tc>
                                <w:tcPr>
                                  <w:tcW w:w="1814" w:type="dxa"/>
                                  <w:gridSpan w:val="3"/>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всего по проекту за весь период реализации</w:t>
                                  </w:r>
                                </w:p>
                              </w:tc>
                              <w:tc>
                                <w:tcPr>
                                  <w:tcW w:w="2051" w:type="dxa"/>
                                  <w:gridSpan w:val="3"/>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Количество создаваемых рабочих мест, ед.</w:t>
                                  </w:r>
                                </w:p>
                              </w:tc>
                              <w:tc>
                                <w:tcPr>
                                  <w:tcW w:w="1020" w:type="dxa"/>
                                  <w:vMerge w:val="restart"/>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textDirection w:val="btLr"/>
                                  <w:vAlign w:val="center"/>
                                </w:tcPr>
                                <w:p>
                                  <w:pPr>
                                    <w:pStyle w:val="Normal"/>
                                    <w:jc w:val="center"/>
                                    <w:rPr>
                                      <w:bCs/>
                                      <w:color w:val="000000"/>
                                    </w:rPr>
                                  </w:pPr>
                                  <w:r>
                                    <w:rPr>
                                      <w:bCs/>
                                      <w:color w:val="000000"/>
                                    </w:rPr>
                                    <w:t>Примечание (краткая аналитическая записка за отчетный период текущего года)</w:t>
                                  </w:r>
                                </w:p>
                              </w:tc>
                            </w:tr>
                            <w:tr>
                              <w:trPr>
                                <w:trHeight w:val="720" w:hRule="atLeast"/>
                                <w:cantSplit w:val="true"/>
                              </w:trPr>
                              <w:tc>
                                <w:tcPr>
                                  <w:tcW w:w="579" w:type="dxa"/>
                                  <w:vMerge w:val="continue"/>
                                  <w:tcBorders>
                                    <w:left w:val="single" w:sz="8" w:space="0" w:color="000000"/>
                                    <w:bottom w:val="single" w:sz="4" w:space="0" w:color="000000"/>
                                    <w:insideH w:val="single" w:sz="4" w:space="0" w:color="000000"/>
                                  </w:tcBorders>
                                  <w:shd w:fill="auto" w:val="clear"/>
                                  <w:tcMar>
                                    <w:left w:w="98"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42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2140"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 xml:space="preserve">федеральный бюджет                                                                          </w:t>
                                  </w:r>
                                </w:p>
                              </w:tc>
                              <w:tc>
                                <w:tcPr>
                                  <w:tcW w:w="1972"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 xml:space="preserve">областной бюджет                                                                              </w:t>
                                  </w:r>
                                </w:p>
                              </w:tc>
                              <w:tc>
                                <w:tcPr>
                                  <w:tcW w:w="1842"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 xml:space="preserve">местный бюджет                                                                              </w:t>
                                  </w:r>
                                </w:p>
                              </w:tc>
                              <w:tc>
                                <w:tcPr>
                                  <w:tcW w:w="1701"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внебюджетные средства</w:t>
                                  </w:r>
                                </w:p>
                              </w:tc>
                              <w:tc>
                                <w:tcPr>
                                  <w:tcW w:w="1814" w:type="dxa"/>
                                  <w:gridSpan w:val="3"/>
                                  <w:vMerge w:val="continue"/>
                                  <w:tcBorders>
                                    <w:top w:val="single" w:sz="8"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2051" w:type="dxa"/>
                                  <w:gridSpan w:val="3"/>
                                  <w:vMerge w:val="continue"/>
                                  <w:tcBorders>
                                    <w:top w:val="single" w:sz="8"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1020" w:type="dxa"/>
                                  <w:vMerge w:val="continue"/>
                                  <w:tcBorders>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vAlign w:val="center"/>
                                </w:tcPr>
                                <w:p>
                                  <w:pPr>
                                    <w:pStyle w:val="Normal"/>
                                    <w:snapToGrid w:val="false"/>
                                    <w:rPr>
                                      <w:bCs/>
                                      <w:color w:val="000000"/>
                                    </w:rPr>
                                  </w:pPr>
                                  <w:r>
                                    <w:rPr>
                                      <w:bCs/>
                                      <w:color w:val="000000"/>
                                    </w:rPr>
                                  </w:r>
                                </w:p>
                              </w:tc>
                            </w:tr>
                            <w:tr>
                              <w:trPr>
                                <w:trHeight w:val="345" w:hRule="atLeast"/>
                                <w:cantSplit w:val="true"/>
                              </w:trPr>
                              <w:tc>
                                <w:tcPr>
                                  <w:tcW w:w="579" w:type="dxa"/>
                                  <w:vMerge w:val="continue"/>
                                  <w:tcBorders>
                                    <w:left w:val="single" w:sz="8" w:space="0" w:color="000000"/>
                                    <w:bottom w:val="single" w:sz="4" w:space="0" w:color="000000"/>
                                    <w:insideH w:val="single" w:sz="4" w:space="0" w:color="000000"/>
                                  </w:tcBorders>
                                  <w:shd w:fill="auto" w:val="clear"/>
                                  <w:tcMar>
                                    <w:left w:w="98"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42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431"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554"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418"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566"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276"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567"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134"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1814" w:type="dxa"/>
                                  <w:gridSpan w:val="3"/>
                                  <w:vMerge w:val="continue"/>
                                  <w:tcBorders>
                                    <w:top w:val="single" w:sz="8"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96"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455"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1020" w:type="dxa"/>
                                  <w:vMerge w:val="continue"/>
                                  <w:tcBorders>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vAlign w:val="center"/>
                                </w:tcPr>
                                <w:p>
                                  <w:pPr>
                                    <w:pStyle w:val="Normal"/>
                                    <w:snapToGrid w:val="false"/>
                                    <w:rPr>
                                      <w:bCs/>
                                      <w:color w:val="000000"/>
                                    </w:rPr>
                                  </w:pPr>
                                  <w:r>
                                    <w:rPr>
                                      <w:bCs/>
                                      <w:color w:val="000000"/>
                                    </w:rPr>
                                  </w:r>
                                </w:p>
                              </w:tc>
                            </w:tr>
                            <w:tr>
                              <w:trPr>
                                <w:trHeight w:val="1908" w:hRule="atLeast"/>
                                <w:cantSplit w:val="true"/>
                              </w:trPr>
                              <w:tc>
                                <w:tcPr>
                                  <w:tcW w:w="579" w:type="dxa"/>
                                  <w:vMerge w:val="continue"/>
                                  <w:tcBorders>
                                    <w:left w:val="single" w:sz="8" w:space="0" w:color="000000"/>
                                    <w:bottom w:val="single" w:sz="4" w:space="0" w:color="000000"/>
                                    <w:insideH w:val="single" w:sz="4" w:space="0" w:color="000000"/>
                                  </w:tcBorders>
                                  <w:shd w:fill="auto" w:val="clear"/>
                                  <w:tcMar>
                                    <w:left w:w="98"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42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22"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54"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6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факт</w:t>
                                  </w:r>
                                </w:p>
                              </w:tc>
                              <w:tc>
                                <w:tcPr>
                                  <w:tcW w:w="680"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освоения средств</w:t>
                                  </w:r>
                                </w:p>
                              </w:tc>
                              <w:tc>
                                <w:tcPr>
                                  <w:tcW w:w="59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46"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1020" w:type="dxa"/>
                                  <w:vMerge w:val="continue"/>
                                  <w:tcBorders>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vAlign w:val="center"/>
                                </w:tcPr>
                                <w:p>
                                  <w:pPr>
                                    <w:pStyle w:val="Normal"/>
                                    <w:snapToGrid w:val="false"/>
                                    <w:rPr>
                                      <w:bCs/>
                                      <w:color w:val="000000"/>
                                    </w:rPr>
                                  </w:pPr>
                                  <w:r>
                                    <w:rPr>
                                      <w:bCs/>
                                      <w:color w:val="000000"/>
                                    </w:rPr>
                                  </w:r>
                                </w:p>
                              </w:tc>
                            </w:tr>
                            <w:tr>
                              <w:trPr>
                                <w:trHeight w:val="312" w:hRule="atLeast"/>
                              </w:trPr>
                              <w:tc>
                                <w:tcPr>
                                  <w:tcW w:w="57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right"/>
                                    <w:rPr/>
                                  </w:pPr>
                                  <w:r>
                                    <w:rPr/>
                                    <w:t>1</w:t>
                                  </w:r>
                                </w:p>
                              </w:tc>
                              <w:tc>
                                <w:tcPr>
                                  <w:tcW w:w="70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426" w:type="dxa"/>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8"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bottom"/>
                                </w:tcPr>
                                <w:p>
                                  <w:pPr>
                                    <w:pStyle w:val="Normal"/>
                                    <w:rPr>
                                      <w:rFonts w:ascii="Arial" w:hAnsi="Arial" w:cs="Arial"/>
                                    </w:rPr>
                                  </w:pPr>
                                  <w:r>
                                    <w:rPr>
                                      <w:rFonts w:cs="Arial" w:ascii="Arial" w:hAnsi="Arial"/>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22"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54"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68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9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46"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101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pPr>
                                  <w:r>
                                    <w:rPr/>
                                    <w:t> </w:t>
                                  </w:r>
                                </w:p>
                              </w:tc>
                            </w:tr>
                            <w:tr>
                              <w:trPr>
                                <w:trHeight w:val="312" w:hRule="atLeast"/>
                              </w:trPr>
                              <w:tc>
                                <w:tcPr>
                                  <w:tcW w:w="579" w:type="dxa"/>
                                  <w:tcBorders>
                                    <w:left w:val="single" w:sz="4" w:space="0" w:color="000000"/>
                                    <w:bottom w:val="single" w:sz="4" w:space="0" w:color="000000"/>
                                    <w:insideH w:val="single" w:sz="4" w:space="0" w:color="000000"/>
                                  </w:tcBorders>
                                  <w:shd w:fill="auto" w:val="clear"/>
                                  <w:tcMar>
                                    <w:left w:w="103" w:type="dxa"/>
                                  </w:tcMar>
                                </w:tcPr>
                                <w:p>
                                  <w:pPr>
                                    <w:pStyle w:val="Normal"/>
                                    <w:jc w:val="right"/>
                                    <w:rPr/>
                                  </w:pPr>
                                  <w:r>
                                    <w:rPr/>
                                    <w:t>2</w:t>
                                  </w:r>
                                </w:p>
                              </w:tc>
                              <w:tc>
                                <w:tcPr>
                                  <w:tcW w:w="708" w:type="dxa"/>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426" w:type="dxa"/>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8"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bottom"/>
                                </w:tcPr>
                                <w:p>
                                  <w:pPr>
                                    <w:pStyle w:val="Normal"/>
                                    <w:rPr>
                                      <w:rFonts w:ascii="Arial" w:hAnsi="Arial" w:cs="Arial"/>
                                    </w:rPr>
                                  </w:pPr>
                                  <w:r>
                                    <w:rPr>
                                      <w:rFonts w:cs="Arial" w:ascii="Arial" w:hAnsi="Arial"/>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22"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54"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680"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9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4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101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pPr>
                                  <w:r>
                                    <w:rPr/>
                                    <w:t> </w:t>
                                  </w:r>
                                </w:p>
                              </w:tc>
                            </w:tr>
                            <w:tr>
                              <w:trPr>
                                <w:trHeight w:val="312" w:hRule="atLeast"/>
                              </w:trPr>
                              <w:tc>
                                <w:tcPr>
                                  <w:tcW w:w="1287" w:type="dxa"/>
                                  <w:gridSpan w:val="2"/>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p>
                                  <w:pPr>
                                    <w:pStyle w:val="Normal"/>
                                    <w:rPr>
                                      <w:bCs/>
                                    </w:rPr>
                                  </w:pPr>
                                  <w:r>
                                    <w:rPr>
                                      <w:bCs/>
                                    </w:rPr>
                                    <w:t xml:space="preserve">ИТОГО </w:t>
                                  </w:r>
                                </w:p>
                              </w:tc>
                              <w:tc>
                                <w:tcPr>
                                  <w:tcW w:w="426" w:type="dxa"/>
                                  <w:tcBorders>
                                    <w:left w:val="single" w:sz="4" w:space="0" w:color="000000"/>
                                    <w:bottom w:val="single" w:sz="4" w:space="0" w:color="000000"/>
                                    <w:insideH w:val="single" w:sz="4" w:space="0" w:color="000000"/>
                                  </w:tcBorders>
                                  <w:shd w:fill="auto" w:val="clear"/>
                                  <w:tcMar>
                                    <w:left w:w="103" w:type="dxa"/>
                                  </w:tcMar>
                                </w:tcPr>
                                <w:p>
                                  <w:pPr>
                                    <w:pStyle w:val="Normal"/>
                                    <w:rPr>
                                      <w:bCs/>
                                    </w:rPr>
                                  </w:pPr>
                                  <w:r>
                                    <w:rPr>
                                      <w:bCs/>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8"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22"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54"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680"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9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4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101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pPr>
                                  <w:r>
                                    <w:rPr/>
                                    <w:t> </w:t>
                                  </w:r>
                                </w:p>
                              </w:tc>
                            </w:tr>
                          </w:tbl>
                        </w:txbxContent>
                      </wps:txbx>
                      <wps:bodyPr anchor="t">
                        <a:noAutofit/>
                      </wps:bodyPr>
                    </wps:wsp>
                  </a:graphicData>
                </a:graphic>
              </wp:anchor>
            </w:drawing>
          </mc:Choice>
          <mc:Fallback>
            <w:pict>
              <v:rect fillcolor="#FFFFFF" style="position:absolute;rotation:0;width:776.4pt;height:329pt;mso-wrap-distance-left:9pt;mso-wrap-distance-right:9pt;margin-top:9.45pt;mso-position-vertical-relative:text;margin-left:0.15pt;mso-position-horizontal:center;mso-position-horizontal-relative:margin">
                <v:fill opacity="0f"/>
                <v:textbox>
                  <w:txbxContent>
                    <w:tbl>
                      <w:tblPr>
                        <w:tblW w:w="15528" w:type="dxa"/>
                        <w:jc w:val="left"/>
                        <w:tblInd w:w="108" w:type="dxa"/>
                        <w:tblBorders>
                          <w:bottom w:val="single" w:sz="4" w:space="0" w:color="000000"/>
                          <w:insideH w:val="single" w:sz="4" w:space="0" w:color="000000"/>
                        </w:tblBorders>
                        <w:tblCellMar>
                          <w:top w:w="0" w:type="dxa"/>
                          <w:left w:w="108" w:type="dxa"/>
                          <w:bottom w:w="0" w:type="dxa"/>
                          <w:right w:w="108" w:type="dxa"/>
                        </w:tblCellMar>
                      </w:tblPr>
                      <w:tblGrid>
                        <w:gridCol w:w="579"/>
                        <w:gridCol w:w="708"/>
                        <w:gridCol w:w="426"/>
                        <w:gridCol w:w="567"/>
                        <w:gridCol w:w="708"/>
                        <w:gridCol w:w="709"/>
                        <w:gridCol w:w="709"/>
                        <w:gridCol w:w="722"/>
                        <w:gridCol w:w="554"/>
                        <w:gridCol w:w="709"/>
                        <w:gridCol w:w="709"/>
                        <w:gridCol w:w="566"/>
                        <w:gridCol w:w="567"/>
                        <w:gridCol w:w="709"/>
                        <w:gridCol w:w="567"/>
                        <w:gridCol w:w="567"/>
                        <w:gridCol w:w="567"/>
                        <w:gridCol w:w="567"/>
                        <w:gridCol w:w="567"/>
                        <w:gridCol w:w="680"/>
                        <w:gridCol w:w="596"/>
                        <w:gridCol w:w="746"/>
                        <w:gridCol w:w="709"/>
                        <w:gridCol w:w="1000"/>
                        <w:gridCol w:w="10"/>
                        <w:gridCol w:w="10"/>
                      </w:tblGrid>
                      <w:tr>
                        <w:trPr>
                          <w:trHeight w:val="432" w:hRule="atLeast"/>
                        </w:trPr>
                        <w:tc>
                          <w:tcPr>
                            <w:tcW w:w="15508" w:type="dxa"/>
                            <w:gridSpan w:val="24"/>
                            <w:tcBorders>
                              <w:bottom w:val="single" w:sz="4" w:space="0" w:color="000000"/>
                              <w:insideH w:val="single" w:sz="4" w:space="0" w:color="000000"/>
                            </w:tcBorders>
                            <w:shd w:fill="auto" w:val="clear"/>
                            <w:vAlign w:val="center"/>
                          </w:tcPr>
                          <w:p>
                            <w:pPr>
                              <w:pStyle w:val="Normal"/>
                              <w:jc w:val="center"/>
                              <w:rPr/>
                            </w:pPr>
                            <w:r>
                              <w:rPr>
                                <w:bCs/>
                                <w:color w:val="000000"/>
                              </w:rPr>
                              <w:t>Отчет о ходе реализации инвестиционного проекта на территории поселка Береговой Каслинского муниципального района на дд.мм.гг.</w:t>
                            </w:r>
                          </w:p>
                        </w:tc>
                      </w:tr>
                      <w:tr>
                        <w:trPr>
                          <w:trHeight w:val="390" w:hRule="atLeast"/>
                          <w:cantSplit w:val="true"/>
                        </w:trPr>
                        <w:tc>
                          <w:tcPr>
                            <w:tcW w:w="579" w:type="dxa"/>
                            <w:vMerge w:val="restart"/>
                            <w:tcBorders>
                              <w:top w:val="single" w:sz="4" w:space="0" w:color="000000"/>
                              <w:left w:val="single" w:sz="8" w:space="0" w:color="000000"/>
                              <w:bottom w:val="single" w:sz="4" w:space="0" w:color="000000"/>
                              <w:insideH w:val="single" w:sz="4" w:space="0" w:color="000000"/>
                            </w:tcBorders>
                            <w:shd w:fill="auto" w:val="clear"/>
                            <w:tcMar>
                              <w:left w:w="98" w:type="dxa"/>
                            </w:tcMar>
                            <w:vAlign w:val="center"/>
                          </w:tcPr>
                          <w:p>
                            <w:pPr>
                              <w:pStyle w:val="Normal"/>
                              <w:jc w:val="center"/>
                              <w:rPr>
                                <w:bCs/>
                                <w:color w:val="000000"/>
                              </w:rPr>
                            </w:pPr>
                            <w:r>
                              <w:rPr>
                                <w:bCs/>
                                <w:color w:val="000000"/>
                              </w:rPr>
                              <w:t xml:space="preserve">№ </w:t>
                            </w:r>
                            <w:r>
                              <w:rPr>
                                <w:bCs/>
                                <w:color w:val="000000"/>
                              </w:rPr>
                              <w:t>п/п</w:t>
                            </w:r>
                          </w:p>
                        </w:tc>
                        <w:tc>
                          <w:tcPr>
                            <w:tcW w:w="708" w:type="dxa"/>
                            <w:vMerge w:val="restart"/>
                            <w:tcBorders>
                              <w:top w:val="single" w:sz="4" w:space="0" w:color="000000"/>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Наименование инвестиционного проекта</w:t>
                            </w:r>
                          </w:p>
                        </w:tc>
                        <w:tc>
                          <w:tcPr>
                            <w:tcW w:w="426"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Инициатор проекта</w:t>
                            </w:r>
                          </w:p>
                        </w:tc>
                        <w:tc>
                          <w:tcPr>
                            <w:tcW w:w="567"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Срок реализации проекта</w:t>
                            </w:r>
                          </w:p>
                        </w:tc>
                        <w:tc>
                          <w:tcPr>
                            <w:tcW w:w="708" w:type="dxa"/>
                            <w:vMerge w:val="restart"/>
                            <w:tcBorders>
                              <w:top w:val="single" w:sz="4" w:space="0" w:color="000000"/>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Общая сметная стоимость проекта, тыс. руб.</w:t>
                            </w:r>
                          </w:p>
                        </w:tc>
                        <w:tc>
                          <w:tcPr>
                            <w:tcW w:w="7655" w:type="dxa"/>
                            <w:gridSpan w:val="12"/>
                            <w:tcBorders>
                              <w:top w:val="single" w:sz="4" w:space="0" w:color="000000"/>
                              <w:left w:val="single" w:sz="4" w:space="0" w:color="000000"/>
                            </w:tcBorders>
                            <w:shd w:fill="auto" w:val="clear"/>
                            <w:tcMar>
                              <w:left w:w="103" w:type="dxa"/>
                            </w:tcMar>
                            <w:vAlign w:val="center"/>
                          </w:tcPr>
                          <w:p>
                            <w:pPr>
                              <w:pStyle w:val="Normal"/>
                              <w:jc w:val="center"/>
                              <w:rPr>
                                <w:bCs/>
                                <w:color w:val="000000"/>
                              </w:rPr>
                            </w:pPr>
                            <w:r>
                              <w:rPr>
                                <w:bCs/>
                                <w:color w:val="000000"/>
                              </w:rPr>
                              <w:t>Финансирование проекта, тыс.руб.</w:t>
                            </w:r>
                          </w:p>
                        </w:tc>
                        <w:tc>
                          <w:tcPr>
                            <w:tcW w:w="1814" w:type="dxa"/>
                            <w:gridSpan w:val="3"/>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всего по проекту за весь период реализации</w:t>
                            </w:r>
                          </w:p>
                        </w:tc>
                        <w:tc>
                          <w:tcPr>
                            <w:tcW w:w="2051" w:type="dxa"/>
                            <w:gridSpan w:val="3"/>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Количество создаваемых рабочих мест, ед.</w:t>
                            </w:r>
                          </w:p>
                        </w:tc>
                        <w:tc>
                          <w:tcPr>
                            <w:tcW w:w="1020" w:type="dxa"/>
                            <w:vMerge w:val="restart"/>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textDirection w:val="btLr"/>
                            <w:vAlign w:val="center"/>
                          </w:tcPr>
                          <w:p>
                            <w:pPr>
                              <w:pStyle w:val="Normal"/>
                              <w:jc w:val="center"/>
                              <w:rPr>
                                <w:bCs/>
                                <w:color w:val="000000"/>
                              </w:rPr>
                            </w:pPr>
                            <w:r>
                              <w:rPr>
                                <w:bCs/>
                                <w:color w:val="000000"/>
                              </w:rPr>
                              <w:t>Примечание (краткая аналитическая записка за отчетный период текущего года)</w:t>
                            </w:r>
                          </w:p>
                        </w:tc>
                      </w:tr>
                      <w:tr>
                        <w:trPr>
                          <w:trHeight w:val="720" w:hRule="atLeast"/>
                          <w:cantSplit w:val="true"/>
                        </w:trPr>
                        <w:tc>
                          <w:tcPr>
                            <w:tcW w:w="579" w:type="dxa"/>
                            <w:vMerge w:val="continue"/>
                            <w:tcBorders>
                              <w:left w:val="single" w:sz="8" w:space="0" w:color="000000"/>
                              <w:bottom w:val="single" w:sz="4" w:space="0" w:color="000000"/>
                              <w:insideH w:val="single" w:sz="4" w:space="0" w:color="000000"/>
                            </w:tcBorders>
                            <w:shd w:fill="auto" w:val="clear"/>
                            <w:tcMar>
                              <w:left w:w="98"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42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2140"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 xml:space="preserve">федеральный бюджет                                                                          </w:t>
                            </w:r>
                          </w:p>
                        </w:tc>
                        <w:tc>
                          <w:tcPr>
                            <w:tcW w:w="1972"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 xml:space="preserve">областной бюджет                                                                              </w:t>
                            </w:r>
                          </w:p>
                        </w:tc>
                        <w:tc>
                          <w:tcPr>
                            <w:tcW w:w="1842"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 xml:space="preserve">местный бюджет                                                                              </w:t>
                            </w:r>
                          </w:p>
                        </w:tc>
                        <w:tc>
                          <w:tcPr>
                            <w:tcW w:w="1701" w:type="dxa"/>
                            <w:gridSpan w:val="3"/>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внебюджетные средства</w:t>
                            </w:r>
                          </w:p>
                        </w:tc>
                        <w:tc>
                          <w:tcPr>
                            <w:tcW w:w="1814" w:type="dxa"/>
                            <w:gridSpan w:val="3"/>
                            <w:vMerge w:val="continue"/>
                            <w:tcBorders>
                              <w:top w:val="single" w:sz="8"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2051" w:type="dxa"/>
                            <w:gridSpan w:val="3"/>
                            <w:vMerge w:val="continue"/>
                            <w:tcBorders>
                              <w:top w:val="single" w:sz="8"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1020" w:type="dxa"/>
                            <w:vMerge w:val="continue"/>
                            <w:tcBorders>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vAlign w:val="center"/>
                          </w:tcPr>
                          <w:p>
                            <w:pPr>
                              <w:pStyle w:val="Normal"/>
                              <w:snapToGrid w:val="false"/>
                              <w:rPr>
                                <w:bCs/>
                                <w:color w:val="000000"/>
                              </w:rPr>
                            </w:pPr>
                            <w:r>
                              <w:rPr>
                                <w:bCs/>
                                <w:color w:val="000000"/>
                              </w:rPr>
                            </w:r>
                          </w:p>
                        </w:tc>
                      </w:tr>
                      <w:tr>
                        <w:trPr>
                          <w:trHeight w:val="345" w:hRule="atLeast"/>
                          <w:cantSplit w:val="true"/>
                        </w:trPr>
                        <w:tc>
                          <w:tcPr>
                            <w:tcW w:w="579" w:type="dxa"/>
                            <w:vMerge w:val="continue"/>
                            <w:tcBorders>
                              <w:left w:val="single" w:sz="8" w:space="0" w:color="000000"/>
                              <w:bottom w:val="single" w:sz="4" w:space="0" w:color="000000"/>
                              <w:insideH w:val="single" w:sz="4" w:space="0" w:color="000000"/>
                            </w:tcBorders>
                            <w:shd w:fill="auto" w:val="clear"/>
                            <w:tcMar>
                              <w:left w:w="98"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42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431"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554"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418"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566"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276"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567"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134"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1814" w:type="dxa"/>
                            <w:gridSpan w:val="3"/>
                            <w:vMerge w:val="continue"/>
                            <w:tcBorders>
                              <w:top w:val="single" w:sz="8"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96" w:type="dxa"/>
                            <w:vMerge w:val="restart"/>
                            <w:tcBorders>
                              <w:left w:val="single" w:sz="4" w:space="0" w:color="000000"/>
                              <w:bottom w:val="single" w:sz="4" w:space="0" w:color="000000"/>
                              <w:insideH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1455"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rPr>
                            </w:pPr>
                            <w:r>
                              <w:rPr>
                                <w:bCs/>
                                <w:color w:val="000000"/>
                              </w:rPr>
                              <w:t>факт</w:t>
                            </w:r>
                          </w:p>
                        </w:tc>
                        <w:tc>
                          <w:tcPr>
                            <w:tcW w:w="1020" w:type="dxa"/>
                            <w:vMerge w:val="continue"/>
                            <w:tcBorders>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vAlign w:val="center"/>
                          </w:tcPr>
                          <w:p>
                            <w:pPr>
                              <w:pStyle w:val="Normal"/>
                              <w:snapToGrid w:val="false"/>
                              <w:rPr>
                                <w:bCs/>
                                <w:color w:val="000000"/>
                              </w:rPr>
                            </w:pPr>
                            <w:r>
                              <w:rPr>
                                <w:bCs/>
                                <w:color w:val="000000"/>
                              </w:rPr>
                            </w:r>
                          </w:p>
                        </w:tc>
                      </w:tr>
                      <w:tr>
                        <w:trPr>
                          <w:trHeight w:val="1908" w:hRule="atLeast"/>
                          <w:cantSplit w:val="true"/>
                        </w:trPr>
                        <w:tc>
                          <w:tcPr>
                            <w:tcW w:w="579" w:type="dxa"/>
                            <w:vMerge w:val="continue"/>
                            <w:tcBorders>
                              <w:left w:val="single" w:sz="8" w:space="0" w:color="000000"/>
                              <w:bottom w:val="single" w:sz="4" w:space="0" w:color="000000"/>
                              <w:insideH w:val="single" w:sz="4" w:space="0" w:color="000000"/>
                            </w:tcBorders>
                            <w:shd w:fill="auto" w:val="clear"/>
                            <w:tcMar>
                              <w:left w:w="98"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42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8" w:type="dxa"/>
                            <w:vMerge w:val="continue"/>
                            <w:tcBorders>
                              <w:left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22"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54"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6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67"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план</w:t>
                            </w:r>
                          </w:p>
                        </w:tc>
                        <w:tc>
                          <w:tcPr>
                            <w:tcW w:w="567"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факт</w:t>
                            </w:r>
                          </w:p>
                        </w:tc>
                        <w:tc>
                          <w:tcPr>
                            <w:tcW w:w="680"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освоения средств</w:t>
                            </w:r>
                          </w:p>
                        </w:tc>
                        <w:tc>
                          <w:tcPr>
                            <w:tcW w:w="596" w:type="dxa"/>
                            <w:vMerge w:val="continue"/>
                            <w:tcBorders>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color w:val="000000"/>
                              </w:rPr>
                            </w:pPr>
                            <w:r>
                              <w:rPr>
                                <w:bCs/>
                                <w:color w:val="000000"/>
                              </w:rPr>
                            </w:r>
                          </w:p>
                        </w:tc>
                        <w:tc>
                          <w:tcPr>
                            <w:tcW w:w="746"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 xml:space="preserve">с начала реализации проекта </w:t>
                            </w:r>
                          </w:p>
                        </w:tc>
                        <w:tc>
                          <w:tcPr>
                            <w:tcW w:w="709" w:type="dxa"/>
                            <w:tcBorders>
                              <w:left w:val="single" w:sz="4" w:space="0" w:color="000000"/>
                            </w:tcBorders>
                            <w:shd w:fill="auto" w:val="clear"/>
                            <w:tcMar>
                              <w:left w:w="103" w:type="dxa"/>
                            </w:tcMar>
                            <w:textDirection w:val="btLr"/>
                            <w:vAlign w:val="center"/>
                          </w:tcPr>
                          <w:p>
                            <w:pPr>
                              <w:pStyle w:val="Normal"/>
                              <w:jc w:val="center"/>
                              <w:rPr>
                                <w:bCs/>
                                <w:color w:val="000000"/>
                              </w:rPr>
                            </w:pPr>
                            <w:r>
                              <w:rPr>
                                <w:bCs/>
                                <w:color w:val="000000"/>
                              </w:rPr>
                              <w:t>за отчетный период текущего года</w:t>
                            </w:r>
                          </w:p>
                        </w:tc>
                        <w:tc>
                          <w:tcPr>
                            <w:tcW w:w="1020" w:type="dxa"/>
                            <w:vMerge w:val="continue"/>
                            <w:tcBorders>
                              <w:left w:val="single" w:sz="4" w:space="0" w:color="000000"/>
                              <w:bottom w:val="single" w:sz="4" w:space="0" w:color="000000"/>
                              <w:right w:val="single" w:sz="8" w:space="0" w:color="000000"/>
                              <w:insideH w:val="single" w:sz="4" w:space="0" w:color="000000"/>
                              <w:insideV w:val="single" w:sz="8" w:space="0" w:color="000000"/>
                            </w:tcBorders>
                            <w:shd w:fill="auto" w:val="clear"/>
                            <w:tcMar>
                              <w:left w:w="103" w:type="dxa"/>
                            </w:tcMar>
                            <w:vAlign w:val="center"/>
                          </w:tcPr>
                          <w:p>
                            <w:pPr>
                              <w:pStyle w:val="Normal"/>
                              <w:snapToGrid w:val="false"/>
                              <w:rPr>
                                <w:bCs/>
                                <w:color w:val="000000"/>
                              </w:rPr>
                            </w:pPr>
                            <w:r>
                              <w:rPr>
                                <w:bCs/>
                                <w:color w:val="000000"/>
                              </w:rPr>
                            </w:r>
                          </w:p>
                        </w:tc>
                      </w:tr>
                      <w:tr>
                        <w:trPr>
                          <w:trHeight w:val="312" w:hRule="atLeast"/>
                        </w:trPr>
                        <w:tc>
                          <w:tcPr>
                            <w:tcW w:w="57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right"/>
                              <w:rPr/>
                            </w:pPr>
                            <w:r>
                              <w:rPr/>
                              <w:t>1</w:t>
                            </w:r>
                          </w:p>
                        </w:tc>
                        <w:tc>
                          <w:tcPr>
                            <w:tcW w:w="70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426" w:type="dxa"/>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8"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bottom"/>
                          </w:tcPr>
                          <w:p>
                            <w:pPr>
                              <w:pStyle w:val="Normal"/>
                              <w:rPr>
                                <w:rFonts w:ascii="Arial" w:hAnsi="Arial" w:cs="Arial"/>
                              </w:rPr>
                            </w:pPr>
                            <w:r>
                              <w:rPr>
                                <w:rFonts w:cs="Arial" w:ascii="Arial" w:hAnsi="Arial"/>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22"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54"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68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9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46"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101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pPr>
                            <w:r>
                              <w:rPr/>
                              <w:t> </w:t>
                            </w:r>
                          </w:p>
                        </w:tc>
                      </w:tr>
                      <w:tr>
                        <w:trPr>
                          <w:trHeight w:val="312" w:hRule="atLeast"/>
                        </w:trPr>
                        <w:tc>
                          <w:tcPr>
                            <w:tcW w:w="579" w:type="dxa"/>
                            <w:tcBorders>
                              <w:left w:val="single" w:sz="4" w:space="0" w:color="000000"/>
                              <w:bottom w:val="single" w:sz="4" w:space="0" w:color="000000"/>
                              <w:insideH w:val="single" w:sz="4" w:space="0" w:color="000000"/>
                            </w:tcBorders>
                            <w:shd w:fill="auto" w:val="clear"/>
                            <w:tcMar>
                              <w:left w:w="103" w:type="dxa"/>
                            </w:tcMar>
                          </w:tcPr>
                          <w:p>
                            <w:pPr>
                              <w:pStyle w:val="Normal"/>
                              <w:jc w:val="right"/>
                              <w:rPr/>
                            </w:pPr>
                            <w:r>
                              <w:rPr/>
                              <w:t>2</w:t>
                            </w:r>
                          </w:p>
                        </w:tc>
                        <w:tc>
                          <w:tcPr>
                            <w:tcW w:w="708" w:type="dxa"/>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426" w:type="dxa"/>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8"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bottom"/>
                          </w:tcPr>
                          <w:p>
                            <w:pPr>
                              <w:pStyle w:val="Normal"/>
                              <w:rPr>
                                <w:rFonts w:ascii="Arial" w:hAnsi="Arial" w:cs="Arial"/>
                              </w:rPr>
                            </w:pPr>
                            <w:r>
                              <w:rPr>
                                <w:rFonts w:cs="Arial" w:ascii="Arial" w:hAnsi="Arial"/>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22"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54"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680"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9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4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101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pPr>
                            <w:r>
                              <w:rPr/>
                              <w:t> </w:t>
                            </w:r>
                          </w:p>
                        </w:tc>
                      </w:tr>
                      <w:tr>
                        <w:trPr>
                          <w:trHeight w:val="312" w:hRule="atLeast"/>
                        </w:trPr>
                        <w:tc>
                          <w:tcPr>
                            <w:tcW w:w="1287" w:type="dxa"/>
                            <w:gridSpan w:val="2"/>
                            <w:tcBorders>
                              <w:left w:val="single" w:sz="4" w:space="0" w:color="000000"/>
                              <w:bottom w:val="single" w:sz="4" w:space="0" w:color="000000"/>
                              <w:insideH w:val="single" w:sz="4" w:space="0" w:color="000000"/>
                            </w:tcBorders>
                            <w:shd w:fill="auto" w:val="clear"/>
                            <w:tcMar>
                              <w:left w:w="103" w:type="dxa"/>
                            </w:tcMar>
                          </w:tcPr>
                          <w:p>
                            <w:pPr>
                              <w:pStyle w:val="Normal"/>
                              <w:rPr/>
                            </w:pPr>
                            <w:r>
                              <w:rPr/>
                              <w:t> </w:t>
                            </w:r>
                          </w:p>
                          <w:p>
                            <w:pPr>
                              <w:pStyle w:val="Normal"/>
                              <w:rPr>
                                <w:bCs/>
                              </w:rPr>
                            </w:pPr>
                            <w:r>
                              <w:rPr>
                                <w:bCs/>
                              </w:rPr>
                              <w:t xml:space="preserve">ИТОГО </w:t>
                            </w:r>
                          </w:p>
                        </w:tc>
                        <w:tc>
                          <w:tcPr>
                            <w:tcW w:w="426" w:type="dxa"/>
                            <w:tcBorders>
                              <w:left w:val="single" w:sz="4" w:space="0" w:color="000000"/>
                              <w:bottom w:val="single" w:sz="4" w:space="0" w:color="000000"/>
                              <w:insideH w:val="single" w:sz="4" w:space="0" w:color="000000"/>
                            </w:tcBorders>
                            <w:shd w:fill="auto" w:val="clear"/>
                            <w:tcMar>
                              <w:left w:w="103" w:type="dxa"/>
                            </w:tcMar>
                          </w:tcPr>
                          <w:p>
                            <w:pPr>
                              <w:pStyle w:val="Normal"/>
                              <w:rPr>
                                <w:bCs/>
                              </w:rPr>
                            </w:pPr>
                            <w:r>
                              <w:rPr>
                                <w:bCs/>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8"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22"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54"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67"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680"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59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46"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709" w:type="dxa"/>
                            <w:tcBorders>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 </w:t>
                            </w:r>
                          </w:p>
                        </w:tc>
                        <w:tc>
                          <w:tcPr>
                            <w:tcW w:w="101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pPr>
                            <w:r>
                              <w:rPr/>
                              <w:t> </w:t>
                            </w:r>
                          </w:p>
                        </w:tc>
                      </w:tr>
                    </w:tbl>
                  </w:txbxContent>
                </v:textbox>
                <w10:wrap type="square"/>
              </v:rect>
            </w:pict>
          </mc:Fallback>
        </mc:AlternateContent>
      </w:r>
    </w:p>
    <w:p>
      <w:pPr>
        <w:pStyle w:val="Normal"/>
        <w:widowControl w:val="false"/>
        <w:ind w:firstLine="709"/>
        <w:jc w:val="both"/>
        <w:rPr>
          <w:sz w:val="28"/>
          <w:szCs w:val="28"/>
        </w:rPr>
      </w:pPr>
      <w:r>
        <w:rPr>
          <w:sz w:val="28"/>
          <w:szCs w:val="28"/>
        </w:rPr>
      </w:r>
    </w:p>
    <w:p>
      <w:pPr>
        <w:pStyle w:val="Normal"/>
        <w:widowControl w:val="false"/>
        <w:ind w:firstLine="709"/>
        <w:jc w:val="both"/>
        <w:rPr>
          <w:sz w:val="28"/>
          <w:szCs w:val="28"/>
        </w:rPr>
      </w:pPr>
      <w:r>
        <w:rPr>
          <w:sz w:val="28"/>
          <w:szCs w:val="28"/>
        </w:rPr>
        <w:t>Руководитель ___________________________(Ф.И.О.)</w:t>
      </w:r>
    </w:p>
    <w:p>
      <w:pPr>
        <w:pStyle w:val="Style25"/>
        <w:spacing w:before="0" w:after="0"/>
        <w:ind w:firstLine="601"/>
        <w:rPr>
          <w:sz w:val="28"/>
          <w:szCs w:val="28"/>
        </w:rPr>
      </w:pPr>
      <w:r>
        <w:rPr>
          <w:sz w:val="28"/>
          <w:szCs w:val="28"/>
        </w:rPr>
      </w:r>
    </w:p>
    <w:p>
      <w:pPr>
        <w:pStyle w:val="Style25"/>
        <w:spacing w:before="0" w:after="0"/>
        <w:ind w:firstLine="601"/>
        <w:rPr>
          <w:sz w:val="28"/>
          <w:szCs w:val="28"/>
        </w:rPr>
      </w:pPr>
      <w:r>
        <w:rPr>
          <w:sz w:val="28"/>
          <w:szCs w:val="28"/>
        </w:rPr>
        <w:t>Таблица 2.</w:t>
      </w:r>
    </w:p>
    <w:p>
      <w:pPr>
        <w:pStyle w:val="Style25"/>
        <w:spacing w:before="0" w:after="0"/>
        <w:ind w:firstLine="601"/>
        <w:rPr>
          <w:sz w:val="28"/>
          <w:szCs w:val="28"/>
        </w:rPr>
      </w:pPr>
      <w:r>
        <w:rPr>
          <w:sz w:val="28"/>
          <w:szCs w:val="28"/>
        </w:rPr>
      </w:r>
    </w:p>
    <w:tbl>
      <w:tblPr>
        <w:tblW w:w="9757"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22"/>
        <w:gridCol w:w="1796"/>
        <w:gridCol w:w="1559"/>
        <w:gridCol w:w="1384"/>
        <w:gridCol w:w="1451"/>
        <w:gridCol w:w="2845"/>
      </w:tblGrid>
      <w:tr>
        <w:trPr>
          <w:trHeight w:val="997" w:hRule="atLeast"/>
        </w:trPr>
        <w:tc>
          <w:tcPr>
            <w:tcW w:w="72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 xml:space="preserve">№ </w:t>
            </w:r>
            <w:r>
              <w:rPr/>
              <w:t>п/п</w:t>
            </w:r>
          </w:p>
        </w:tc>
        <w:tc>
          <w:tcPr>
            <w:tcW w:w="179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Наименование проекта</w:t>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Инициатор проекта</w:t>
            </w:r>
          </w:p>
        </w:tc>
        <w:tc>
          <w:tcPr>
            <w:tcW w:w="13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Срок реализации</w:t>
            </w:r>
          </w:p>
        </w:tc>
        <w:tc>
          <w:tcPr>
            <w:tcW w:w="14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 xml:space="preserve">Стоимость проекта, </w:t>
            </w:r>
          </w:p>
          <w:p>
            <w:pPr>
              <w:pStyle w:val="Normal"/>
              <w:jc w:val="center"/>
              <w:rPr/>
            </w:pPr>
            <w:r>
              <w:rPr/>
              <w:t>тыс. руб.</w:t>
            </w:r>
          </w:p>
        </w:tc>
        <w:tc>
          <w:tcPr>
            <w:tcW w:w="28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jc w:val="center"/>
              <w:rPr/>
            </w:pPr>
            <w:r>
              <w:rPr/>
              <w:t xml:space="preserve">Объем необходимых инвестиций по проекту, </w:t>
            </w:r>
          </w:p>
          <w:p>
            <w:pPr>
              <w:pStyle w:val="Normal"/>
              <w:jc w:val="center"/>
              <w:rPr/>
            </w:pPr>
            <w:r>
              <w:rPr/>
              <w:t>тыс. руб.</w:t>
            </w:r>
          </w:p>
        </w:tc>
      </w:tr>
      <w:tr>
        <w:trPr>
          <w:trHeight w:val="151" w:hRule="atLeast"/>
        </w:trPr>
        <w:tc>
          <w:tcPr>
            <w:tcW w:w="72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1</w:t>
            </w:r>
          </w:p>
        </w:tc>
        <w:tc>
          <w:tcPr>
            <w:tcW w:w="179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13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14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28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center"/>
              <w:rPr/>
            </w:pPr>
            <w:r>
              <w:rPr/>
            </w:r>
          </w:p>
        </w:tc>
      </w:tr>
      <w:tr>
        <w:trPr>
          <w:trHeight w:val="151" w:hRule="atLeast"/>
        </w:trPr>
        <w:tc>
          <w:tcPr>
            <w:tcW w:w="72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jc w:val="center"/>
              <w:rPr/>
            </w:pPr>
            <w:r>
              <w:rPr/>
              <w:t>2</w:t>
            </w:r>
          </w:p>
        </w:tc>
        <w:tc>
          <w:tcPr>
            <w:tcW w:w="179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13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rPr/>
            </w:pPr>
            <w:r>
              <w:rPr/>
            </w:r>
          </w:p>
        </w:tc>
        <w:tc>
          <w:tcPr>
            <w:tcW w:w="14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pPr>
            <w:r>
              <w:rPr/>
            </w:r>
          </w:p>
        </w:tc>
        <w:tc>
          <w:tcPr>
            <w:tcW w:w="28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center"/>
              <w:rPr/>
            </w:pPr>
            <w:r>
              <w:rPr/>
            </w:r>
          </w:p>
        </w:tc>
      </w:tr>
    </w:tbl>
    <w:p>
      <w:pPr>
        <w:pStyle w:val="Style25"/>
        <w:spacing w:before="0" w:after="0"/>
        <w:ind w:firstLine="601"/>
        <w:rPr>
          <w:sz w:val="28"/>
          <w:szCs w:val="28"/>
        </w:rPr>
      </w:pPr>
      <w:r>
        <w:rPr>
          <w:sz w:val="28"/>
          <w:szCs w:val="28"/>
        </w:rPr>
      </w:r>
    </w:p>
    <w:p>
      <w:pPr>
        <w:pStyle w:val="Style25"/>
        <w:spacing w:before="0" w:after="0"/>
        <w:ind w:firstLine="601"/>
        <w:jc w:val="both"/>
        <w:rPr>
          <w:sz w:val="28"/>
          <w:szCs w:val="28"/>
        </w:rPr>
      </w:pPr>
      <w:r>
        <w:rPr>
          <w:sz w:val="28"/>
          <w:szCs w:val="28"/>
        </w:rPr>
        <w:t>Руководитель ____________________(Ф.И.О.)</w:t>
      </w:r>
    </w:p>
    <w:p>
      <w:pPr>
        <w:pStyle w:val="Style25"/>
        <w:spacing w:before="0" w:after="0"/>
        <w:ind w:firstLine="601"/>
        <w:jc w:val="both"/>
        <w:rPr>
          <w:sz w:val="28"/>
          <w:szCs w:val="28"/>
        </w:rPr>
      </w:pPr>
      <w:r>
        <w:rPr>
          <w:sz w:val="28"/>
          <w:szCs w:val="28"/>
        </w:rPr>
      </w:r>
    </w:p>
    <w:p>
      <w:pPr>
        <w:pStyle w:val="Style25"/>
        <w:spacing w:before="0" w:after="0"/>
        <w:ind w:firstLine="601"/>
        <w:jc w:val="both"/>
        <w:rPr/>
      </w:pPr>
      <w:r>
        <w:rPr>
          <w:sz w:val="28"/>
          <w:szCs w:val="28"/>
        </w:rPr>
        <w:t>Для включения в Комплексный инвестиционный план развития Каслинского муниципального района представить в администрацию Каслинского муниципального района информацию об инвестиционном проекте по прилагаемой форме, с пояснительной запиской:</w:t>
      </w:r>
    </w:p>
    <w:p>
      <w:pPr>
        <w:pStyle w:val="Style25"/>
        <w:numPr>
          <w:ilvl w:val="0"/>
          <w:numId w:val="6"/>
        </w:numPr>
        <w:tabs>
          <w:tab w:val="left" w:pos="284" w:leader="none"/>
          <w:tab w:val="left" w:pos="851" w:leader="none"/>
        </w:tabs>
        <w:suppressAutoHyphens w:val="false"/>
        <w:spacing w:before="0" w:after="0"/>
        <w:ind w:left="0" w:hanging="0"/>
        <w:jc w:val="both"/>
        <w:rPr>
          <w:color w:val="000000"/>
          <w:sz w:val="28"/>
          <w:szCs w:val="28"/>
        </w:rPr>
      </w:pPr>
      <w:r>
        <w:rPr>
          <w:color w:val="000000"/>
          <w:sz w:val="28"/>
          <w:szCs w:val="28"/>
        </w:rPr>
        <w:t>краткое описание проекта;</w:t>
      </w:r>
    </w:p>
    <w:p>
      <w:pPr>
        <w:pStyle w:val="Style25"/>
        <w:numPr>
          <w:ilvl w:val="0"/>
          <w:numId w:val="6"/>
        </w:numPr>
        <w:tabs>
          <w:tab w:val="left" w:pos="284" w:leader="none"/>
          <w:tab w:val="left" w:pos="851" w:leader="none"/>
        </w:tabs>
        <w:suppressAutoHyphens w:val="false"/>
        <w:spacing w:before="0" w:after="0"/>
        <w:ind w:left="0" w:hanging="0"/>
        <w:jc w:val="both"/>
        <w:rPr>
          <w:color w:val="000000"/>
          <w:sz w:val="28"/>
          <w:szCs w:val="28"/>
        </w:rPr>
      </w:pPr>
      <w:r>
        <w:rPr>
          <w:color w:val="000000"/>
          <w:sz w:val="28"/>
          <w:szCs w:val="28"/>
        </w:rPr>
        <w:t>основные этапы проекта;</w:t>
      </w:r>
    </w:p>
    <w:p>
      <w:pPr>
        <w:pStyle w:val="Style25"/>
        <w:numPr>
          <w:ilvl w:val="0"/>
          <w:numId w:val="6"/>
        </w:numPr>
        <w:tabs>
          <w:tab w:val="left" w:pos="284" w:leader="none"/>
          <w:tab w:val="left" w:pos="851" w:leader="none"/>
        </w:tabs>
        <w:suppressAutoHyphens w:val="false"/>
        <w:spacing w:before="0" w:after="0"/>
        <w:ind w:left="0" w:hanging="0"/>
        <w:jc w:val="both"/>
        <w:rPr>
          <w:color w:val="000000"/>
          <w:sz w:val="28"/>
          <w:szCs w:val="28"/>
        </w:rPr>
      </w:pPr>
      <w:r>
        <w:rPr>
          <w:color w:val="000000"/>
          <w:sz w:val="28"/>
          <w:szCs w:val="28"/>
        </w:rPr>
        <w:t>инвестиционная готовность проекта (на момент включения в комплексный инвестиционный план развития;</w:t>
      </w:r>
    </w:p>
    <w:p>
      <w:pPr>
        <w:pStyle w:val="Style25"/>
        <w:numPr>
          <w:ilvl w:val="0"/>
          <w:numId w:val="6"/>
        </w:numPr>
        <w:tabs>
          <w:tab w:val="left" w:pos="284" w:leader="none"/>
          <w:tab w:val="left" w:pos="851" w:leader="none"/>
        </w:tabs>
        <w:suppressAutoHyphens w:val="false"/>
        <w:spacing w:before="0" w:after="0"/>
        <w:ind w:left="0" w:hanging="0"/>
        <w:jc w:val="both"/>
        <w:rPr>
          <w:color w:val="000000"/>
          <w:sz w:val="28"/>
          <w:szCs w:val="28"/>
        </w:rPr>
      </w:pPr>
      <w:r>
        <w:rPr>
          <w:color w:val="000000"/>
          <w:sz w:val="28"/>
          <w:szCs w:val="28"/>
        </w:rPr>
        <w:t xml:space="preserve">показатели социально-экономической и финансовой эффективности реализации инвестиционного проекта: </w:t>
      </w:r>
    </w:p>
    <w:p>
      <w:pPr>
        <w:pStyle w:val="Normal"/>
        <w:tabs>
          <w:tab w:val="left" w:pos="284" w:leader="none"/>
          <w:tab w:val="left" w:pos="916" w:leader="none"/>
          <w:tab w:val="left" w:pos="1418" w:leader="none"/>
          <w:tab w:val="left" w:pos="3664" w:leader="none"/>
          <w:tab w:val="left" w:pos="4580" w:leader="none"/>
          <w:tab w:val="left" w:pos="10076" w:leader="none"/>
          <w:tab w:val="left" w:pos="10992" w:leader="none"/>
          <w:tab w:val="left" w:pos="11908" w:leader="none"/>
          <w:tab w:val="left" w:pos="12824" w:leader="none"/>
          <w:tab w:val="left" w:pos="13740" w:leader="none"/>
          <w:tab w:val="left" w:pos="14656" w:leader="none"/>
        </w:tabs>
        <w:jc w:val="both"/>
        <w:rPr>
          <w:color w:val="000000"/>
          <w:sz w:val="28"/>
          <w:szCs w:val="28"/>
        </w:rPr>
      </w:pPr>
      <w:r>
        <w:rPr>
          <w:color w:val="000000"/>
          <w:sz w:val="28"/>
          <w:szCs w:val="28"/>
        </w:rPr>
        <w:t>- вклад в создание новых рабочих мест на период строительства  (количество вновь созданных временных рабочих мест);</w:t>
      </w:r>
    </w:p>
    <w:p>
      <w:pPr>
        <w:pStyle w:val="Normal"/>
        <w:tabs>
          <w:tab w:val="left" w:pos="284" w:leader="none"/>
          <w:tab w:val="left" w:pos="916" w:leader="none"/>
          <w:tab w:val="left" w:pos="1418" w:leader="none"/>
          <w:tab w:val="left" w:pos="3664" w:leader="none"/>
          <w:tab w:val="left" w:pos="4580" w:leader="none"/>
          <w:tab w:val="left" w:pos="10076" w:leader="none"/>
          <w:tab w:val="left" w:pos="10992" w:leader="none"/>
          <w:tab w:val="left" w:pos="11908" w:leader="none"/>
          <w:tab w:val="left" w:pos="12824" w:leader="none"/>
          <w:tab w:val="left" w:pos="13740" w:leader="none"/>
          <w:tab w:val="left" w:pos="14656" w:leader="none"/>
        </w:tabs>
        <w:jc w:val="both"/>
        <w:rPr/>
      </w:pPr>
      <w:r>
        <w:rPr>
          <w:color w:val="000000"/>
          <w:sz w:val="28"/>
          <w:szCs w:val="28"/>
        </w:rPr>
        <w:t>- вклад в создание рабочих мест на период эксплуатации (количество вновь созданных постоянных рабочих мест).</w:t>
      </w:r>
    </w:p>
    <w:p>
      <w:pPr>
        <w:pStyle w:val="Normal"/>
        <w:widowControl w:val="false"/>
        <w:numPr>
          <w:ilvl w:val="0"/>
          <w:numId w:val="5"/>
        </w:numPr>
        <w:tabs>
          <w:tab w:val="left" w:pos="284" w:leader="none"/>
        </w:tabs>
        <w:suppressAutoHyphens w:val="false"/>
        <w:ind w:left="0" w:hanging="0"/>
        <w:jc w:val="both"/>
        <w:rPr/>
      </w:pPr>
      <w:r>
        <w:rPr>
          <w:sz w:val="28"/>
          <w:szCs w:val="28"/>
        </w:rPr>
        <w:t xml:space="preserve">объем необходимых инвестиций по проекту на период реализации по годам </w:t>
      </w:r>
      <w:r>
        <w:rPr>
          <w:sz w:val="28"/>
        </w:rPr>
        <w:t>(в разрезе  основных источников)</w:t>
      </w:r>
      <w:r>
        <w:rPr>
          <w:sz w:val="28"/>
          <w:szCs w:val="28"/>
        </w:rPr>
        <w:t>, тыс. рублей.</w:t>
      </w:r>
    </w:p>
    <w:p>
      <w:pPr>
        <w:pStyle w:val="Normal"/>
        <w:widowControl w:val="false"/>
        <w:ind w:firstLine="709"/>
        <w:jc w:val="both"/>
        <w:rPr>
          <w:sz w:val="28"/>
          <w:szCs w:val="28"/>
        </w:rPr>
      </w:pPr>
      <w:r>
        <w:rPr>
          <w:sz w:val="28"/>
          <w:szCs w:val="28"/>
        </w:rPr>
      </w:r>
    </w:p>
    <w:p>
      <w:pPr>
        <w:pStyle w:val="Normal"/>
        <w:jc w:val="center"/>
        <w:rPr>
          <w:sz w:val="28"/>
          <w:szCs w:val="28"/>
        </w:rPr>
      </w:pPr>
      <w:r>
        <w:rPr>
          <w:sz w:val="28"/>
          <w:szCs w:val="28"/>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right"/>
        <w:rPr/>
      </w:pPr>
      <w:r>
        <w:rPr/>
      </w:r>
    </w:p>
    <w:p>
      <w:pPr>
        <w:pStyle w:val="Normal"/>
        <w:jc w:val="right"/>
        <w:rPr/>
      </w:pPr>
      <w:r>
        <w:rPr/>
      </w:r>
    </w:p>
    <w:p>
      <w:pPr>
        <w:sectPr>
          <w:type w:val="nextPage"/>
          <w:pgSz w:orient="landscape" w:w="16838" w:h="11906"/>
          <w:pgMar w:left="652" w:right="652" w:header="0" w:top="1349" w:footer="0" w:bottom="868" w:gutter="0"/>
          <w:pgNumType w:fmt="decimal"/>
          <w:formProt w:val="false"/>
          <w:textDirection w:val="lrTb"/>
          <w:docGrid w:type="default" w:linePitch="326" w:charSpace="0"/>
        </w:sectPr>
        <w:pStyle w:val="Normal"/>
        <w:jc w:val="right"/>
        <w:rPr/>
      </w:pPr>
      <w:r>
        <w:rPr/>
      </w:r>
    </w:p>
    <w:p>
      <w:pPr>
        <w:pStyle w:val="Normal"/>
        <w:jc w:val="right"/>
        <w:rPr/>
      </w:pPr>
      <w:r>
        <w:rPr/>
      </w:r>
    </w:p>
    <w:p>
      <w:pPr>
        <w:pStyle w:val="Normal"/>
        <w:jc w:val="right"/>
        <w:rPr/>
      </w:pPr>
      <w:r>
        <w:rPr/>
        <w:t xml:space="preserve">Приложение №1 </w:t>
      </w:r>
    </w:p>
    <w:p>
      <w:pPr>
        <w:pStyle w:val="Normal"/>
        <w:jc w:val="right"/>
        <w:rPr/>
      </w:pPr>
      <w:r>
        <w:rPr/>
        <w:t xml:space="preserve">                                                                                                   </w:t>
      </w:r>
      <w:r>
        <w:rPr/>
        <w:t>к конкурсной документации</w:t>
      </w:r>
    </w:p>
    <w:p>
      <w:pPr>
        <w:pStyle w:val="Normal"/>
        <w:pBdr>
          <w:bottom w:val="single" w:sz="12" w:space="1" w:color="000000"/>
        </w:pBdr>
        <w:spacing w:lineRule="auto" w:line="276"/>
        <w:ind w:left="2124" w:firstLine="708"/>
        <w:jc w:val="right"/>
        <w:rPr>
          <w:color w:val="000000"/>
        </w:rPr>
      </w:pPr>
      <w:r>
        <w:rPr>
          <w:color w:val="000000"/>
        </w:rPr>
      </w:r>
    </w:p>
    <w:p>
      <w:pPr>
        <w:pStyle w:val="Normal"/>
        <w:spacing w:lineRule="auto" w:line="276"/>
        <w:rPr>
          <w:bCs/>
        </w:rPr>
      </w:pPr>
      <w:r>
        <w:rPr/>
        <w:t>(дата)</w:t>
      </w:r>
    </w:p>
    <w:p>
      <w:pPr>
        <w:pStyle w:val="Normal"/>
        <w:spacing w:lineRule="auto" w:line="276"/>
        <w:jc w:val="center"/>
        <w:rPr>
          <w:bCs/>
        </w:rPr>
      </w:pPr>
      <w:r>
        <w:rPr>
          <w:bCs/>
        </w:rPr>
        <w:t>ЗАЯВКА НА УЧАСТИЕ В КОНКУРСНОМ ОТБОРЕ</w:t>
      </w:r>
    </w:p>
    <w:p>
      <w:pPr>
        <w:pStyle w:val="Normal"/>
        <w:spacing w:lineRule="auto" w:line="276"/>
        <w:jc w:val="center"/>
        <w:rPr>
          <w:bCs/>
        </w:rPr>
      </w:pPr>
      <w:r>
        <w:rPr>
          <w:bCs/>
        </w:rPr>
      </w:r>
    </w:p>
    <w:p>
      <w:pPr>
        <w:pStyle w:val="Normal"/>
        <w:spacing w:lineRule="auto" w:line="276"/>
        <w:jc w:val="center"/>
        <w:rPr>
          <w:bCs/>
        </w:rPr>
      </w:pPr>
      <w:r>
        <w:rPr>
          <w:bCs/>
        </w:rPr>
      </w:r>
    </w:p>
    <w:p>
      <w:pPr>
        <w:pStyle w:val="Normal"/>
        <w:jc w:val="both"/>
        <w:rPr/>
      </w:pPr>
      <w:r>
        <w:rPr/>
        <w:t>Изучив конкурсную документацию, принимая установленные в ней требования и условия организации и проведения конкурса, мы подтверждаем, что согласны участвовать в конкурсе № ______в соответствии с конкурсной документацией и, в случае признания нас победителем, заключить инвестиционное соглашение на строительство отдельно стоящей газовой  котельной, предназначенной для теплоснабжения поселка Береговой Каслинского муниципального района.</w:t>
      </w:r>
    </w:p>
    <w:p>
      <w:pPr>
        <w:pStyle w:val="Normal"/>
        <w:pBdr>
          <w:bottom w:val="single" w:sz="12" w:space="1" w:color="000000"/>
        </w:pBdr>
        <w:spacing w:lineRule="auto" w:line="276"/>
        <w:ind w:firstLine="708"/>
        <w:jc w:val="both"/>
        <w:rPr/>
      </w:pPr>
      <w:r>
        <w:rPr/>
      </w:r>
    </w:p>
    <w:p>
      <w:pPr>
        <w:pStyle w:val="31"/>
        <w:spacing w:lineRule="auto" w:line="276"/>
        <w:jc w:val="center"/>
        <w:rPr>
          <w:sz w:val="24"/>
          <w:szCs w:val="24"/>
        </w:rPr>
      </w:pPr>
      <w:r>
        <w:rPr>
          <w:bCs/>
          <w:sz w:val="24"/>
          <w:szCs w:val="24"/>
        </w:rPr>
        <w:t xml:space="preserve">(фирменное наименование </w:t>
      </w:r>
      <w:r>
        <w:rPr>
          <w:bCs/>
          <w:sz w:val="24"/>
          <w:szCs w:val="24"/>
          <w:lang w:val="ru-RU"/>
        </w:rPr>
        <w:t>участника</w:t>
      </w:r>
      <w:r>
        <w:rPr>
          <w:bCs/>
          <w:sz w:val="24"/>
          <w:szCs w:val="24"/>
        </w:rPr>
        <w:t>, сведения об организационно-правовой форме – для юридического лица, ФИО – для индивидуального предпринимателя</w:t>
      </w:r>
      <w:r>
        <w:rPr>
          <w:bCs/>
          <w:sz w:val="24"/>
          <w:szCs w:val="24"/>
          <w:lang w:val="ru-RU"/>
        </w:rPr>
        <w:t>, физического лица</w:t>
      </w:r>
      <w:r>
        <w:rPr>
          <w:bCs/>
          <w:sz w:val="24"/>
          <w:szCs w:val="24"/>
        </w:rPr>
        <w:t>)</w:t>
      </w:r>
    </w:p>
    <w:p>
      <w:pPr>
        <w:pStyle w:val="Style21"/>
        <w:spacing w:lineRule="auto" w:line="276"/>
        <w:ind w:left="0" w:hanging="0"/>
        <w:rPr/>
      </w:pPr>
      <w:r>
        <w:rPr/>
        <w:t>в лице, ____________________________________________________</w:t>
      </w:r>
      <w:r>
        <w:rPr>
          <w:lang w:val="ru-RU"/>
        </w:rPr>
        <w:t>_</w:t>
      </w:r>
      <w:r>
        <w:rPr/>
        <w:t>_______</w:t>
      </w:r>
    </w:p>
    <w:p>
      <w:pPr>
        <w:pStyle w:val="Style21"/>
        <w:spacing w:lineRule="auto" w:line="276"/>
        <w:ind w:left="284" w:firstLine="998"/>
        <w:jc w:val="center"/>
        <w:rPr/>
      </w:pPr>
      <w:r>
        <w:rPr/>
        <w:t>(наименование должности руководителя и его Ф.И.О.)</w:t>
      </w:r>
    </w:p>
    <w:p>
      <w:pPr>
        <w:pStyle w:val="31"/>
        <w:tabs>
          <w:tab w:val="left" w:pos="360" w:leader="none"/>
        </w:tabs>
        <w:suppressAutoHyphens w:val="false"/>
        <w:spacing w:lineRule="auto" w:line="276" w:before="0" w:after="0"/>
        <w:jc w:val="both"/>
        <w:rPr>
          <w:sz w:val="24"/>
          <w:szCs w:val="24"/>
        </w:rPr>
      </w:pPr>
      <w:r>
        <w:rPr>
          <w:bCs/>
          <w:sz w:val="24"/>
          <w:szCs w:val="24"/>
        </w:rPr>
        <w:t>настоящей заявкой подтверждае</w:t>
      </w:r>
      <w:r>
        <w:rPr>
          <w:bCs/>
          <w:sz w:val="24"/>
          <w:szCs w:val="24"/>
          <w:lang w:val="ru-RU"/>
        </w:rPr>
        <w:t>т</w:t>
      </w:r>
      <w:r>
        <w:rPr>
          <w:bCs/>
          <w:sz w:val="24"/>
          <w:szCs w:val="24"/>
        </w:rPr>
        <w:t>, что:</w:t>
      </w:r>
    </w:p>
    <w:p>
      <w:pPr>
        <w:pStyle w:val="Normal"/>
        <w:tabs>
          <w:tab w:val="left" w:pos="-2127" w:leader="none"/>
          <w:tab w:val="left" w:pos="567" w:leader="none"/>
          <w:tab w:val="left" w:pos="1134" w:leader="none"/>
          <w:tab w:val="left" w:pos="7371" w:leader="none"/>
        </w:tabs>
        <w:spacing w:lineRule="auto" w:line="276" w:before="0" w:after="120"/>
        <w:jc w:val="both"/>
        <w:rPr/>
      </w:pPr>
      <w:r>
        <w:rPr/>
        <w:t>- в отношении него не проводится ликвидация юридического лица и отсутствует решение Арбитражного суда о признании участника конкурсного отбора – юридического лица или индивидуального предпринимателя несостоятельным (банкротом) и об открытии конкурсного производства;</w:t>
      </w:r>
    </w:p>
    <w:p>
      <w:pPr>
        <w:pStyle w:val="Normal"/>
        <w:tabs>
          <w:tab w:val="left" w:pos="-2127" w:leader="none"/>
          <w:tab w:val="left" w:pos="567" w:leader="none"/>
          <w:tab w:val="left" w:pos="1134" w:leader="none"/>
          <w:tab w:val="left" w:pos="7371" w:leader="none"/>
        </w:tabs>
        <w:spacing w:lineRule="auto" w:line="276" w:before="0" w:after="120"/>
        <w:jc w:val="both"/>
        <w:rPr/>
      </w:pPr>
      <w:r>
        <w:rPr/>
        <w:t>-  деятельность его не приостановлена в порядке, установленном Кодексом Российской Федерации об административных правонарушениях, на дату подачи заявки на участие в конкурсе;</w:t>
      </w:r>
    </w:p>
    <w:p>
      <w:pPr>
        <w:pStyle w:val="Normal"/>
        <w:tabs>
          <w:tab w:val="left" w:pos="-2127" w:leader="none"/>
          <w:tab w:val="left" w:pos="567" w:leader="none"/>
          <w:tab w:val="left" w:pos="1134" w:leader="none"/>
          <w:tab w:val="left" w:pos="7371" w:leader="none"/>
        </w:tabs>
        <w:spacing w:lineRule="auto" w:line="276" w:before="0" w:after="120"/>
        <w:jc w:val="both"/>
        <w:rPr/>
      </w:pPr>
      <w:r>
        <w:rPr/>
        <w:t>- у участника конкурсного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w:t>
      </w:r>
    </w:p>
    <w:p>
      <w:pPr>
        <w:pStyle w:val="3"/>
        <w:spacing w:lineRule="auto" w:line="276"/>
        <w:ind w:left="0" w:hanging="0"/>
        <w:rPr/>
      </w:pPr>
      <w:r>
        <w:rPr>
          <w:color w:val="000000"/>
          <w:sz w:val="22"/>
          <w:szCs w:val="22"/>
        </w:rPr>
        <w:t>- соответствует требованиям, предъявляемым законодательством Российской Федерации к лицам, осуществляющим выполнение работ на территории Российской Федерации,  являющихся предметом настоящего конкурсного отбора</w:t>
      </w:r>
      <w:r>
        <w:rPr>
          <w:color w:val="000000"/>
          <w:szCs w:val="24"/>
        </w:rPr>
        <w:t>.</w:t>
      </w:r>
    </w:p>
    <w:p>
      <w:pPr>
        <w:pStyle w:val="Normal"/>
        <w:jc w:val="both"/>
        <w:rPr>
          <w:color w:val="008000"/>
          <w:sz w:val="20"/>
          <w:szCs w:val="20"/>
        </w:rPr>
      </w:pPr>
      <w:r>
        <w:rPr>
          <w:color w:val="333333"/>
          <w:sz w:val="20"/>
          <w:szCs w:val="20"/>
        </w:rPr>
        <w:t xml:space="preserve">- </w:t>
      </w:r>
      <w:r>
        <w:rPr>
          <w:lang w:eastAsia="ru-RU"/>
        </w:rPr>
        <w:t>в реестре недобросовестных поставщиков (подрядчиков, исполнителей)</w:t>
      </w:r>
      <w:r>
        <w:rPr/>
        <w:t xml:space="preserve">, предусмотренного Федеральным законом от 05.04.2013г. № 44-ФЗ «О контрактной системе в сфере закупок товаров, работ, услуг для обеспечения государственных и муниципальных нужд», Федеральным законом </w:t>
      </w:r>
      <w:r>
        <w:rPr>
          <w:lang w:eastAsia="ru-RU"/>
        </w:rPr>
        <w:t xml:space="preserve">от 18.07.2011 № 223-ФЗ «О закупках товаров, работ, услуг отдельными видами юридических лиц» </w:t>
      </w:r>
      <w:r>
        <w:rPr/>
        <w:t xml:space="preserve"> </w:t>
      </w:r>
      <w:r>
        <w:rPr>
          <w:sz w:val="28"/>
          <w:szCs w:val="28"/>
        </w:rPr>
        <w:t xml:space="preserve"> </w:t>
      </w:r>
      <w:r>
        <w:rPr>
          <w:sz w:val="20"/>
          <w:szCs w:val="20"/>
          <w:lang w:eastAsia="ru-RU"/>
        </w:rPr>
        <w:t xml:space="preserve"> </w:t>
      </w:r>
      <w:r>
        <w:rPr>
          <w:sz w:val="22"/>
          <w:szCs w:val="22"/>
          <w:lang w:eastAsia="ru-RU"/>
        </w:rPr>
        <w:t>отсутствует информация об участнике конкурс</w:t>
      </w:r>
      <w:r>
        <w:rPr>
          <w:sz w:val="22"/>
          <w:szCs w:val="22"/>
        </w:rPr>
        <w:t>ного</w:t>
      </w:r>
      <w:r>
        <w:rPr>
          <w:sz w:val="22"/>
          <w:szCs w:val="22"/>
          <w:lang w:eastAsia="ru-RU"/>
        </w:rPr>
        <w:t>,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конкурса – юридического лица</w:t>
      </w:r>
      <w:r>
        <w:rPr>
          <w:sz w:val="20"/>
          <w:szCs w:val="20"/>
          <w:lang w:eastAsia="ru-RU"/>
        </w:rPr>
        <w:t>.</w:t>
      </w:r>
    </w:p>
    <w:p>
      <w:pPr>
        <w:pStyle w:val="Normal"/>
        <w:tabs>
          <w:tab w:val="left" w:pos="-2127" w:leader="none"/>
          <w:tab w:val="left" w:pos="567" w:leader="none"/>
          <w:tab w:val="left" w:pos="1134" w:leader="none"/>
          <w:tab w:val="left" w:pos="7371" w:leader="none"/>
        </w:tabs>
        <w:spacing w:lineRule="auto" w:line="276" w:before="0" w:after="120"/>
        <w:jc w:val="both"/>
        <w:rPr>
          <w:color w:val="008000"/>
          <w:sz w:val="20"/>
          <w:szCs w:val="20"/>
        </w:rPr>
      </w:pPr>
      <w:r>
        <w:rPr>
          <w:color w:val="008000"/>
          <w:sz w:val="20"/>
          <w:szCs w:val="20"/>
        </w:rPr>
      </w:r>
    </w:p>
    <w:p>
      <w:pPr>
        <w:pStyle w:val="Normal"/>
        <w:tabs>
          <w:tab w:val="left" w:pos="-2127" w:leader="none"/>
          <w:tab w:val="left" w:pos="567" w:leader="none"/>
          <w:tab w:val="left" w:pos="1134" w:leader="none"/>
          <w:tab w:val="left" w:pos="7371" w:leader="none"/>
        </w:tabs>
        <w:spacing w:lineRule="auto" w:line="276" w:before="0" w:after="120"/>
        <w:jc w:val="both"/>
        <w:rPr/>
      </w:pPr>
      <w:r>
        <w:rPr/>
      </w:r>
    </w:p>
    <w:p>
      <w:pPr>
        <w:pStyle w:val="Normal"/>
        <w:tabs>
          <w:tab w:val="left" w:pos="-2127" w:leader="none"/>
          <w:tab w:val="left" w:pos="567" w:leader="none"/>
          <w:tab w:val="left" w:pos="1134" w:leader="none"/>
          <w:tab w:val="left" w:pos="7371" w:leader="none"/>
        </w:tabs>
        <w:spacing w:lineRule="auto" w:line="276" w:before="0" w:after="120"/>
        <w:jc w:val="both"/>
        <w:rPr/>
      </w:pPr>
      <w:r>
        <w:rPr/>
      </w:r>
    </w:p>
    <w:p>
      <w:pPr>
        <w:pStyle w:val="Normal"/>
        <w:tabs>
          <w:tab w:val="left" w:pos="-2127" w:leader="none"/>
          <w:tab w:val="left" w:pos="567" w:leader="none"/>
          <w:tab w:val="left" w:pos="1134" w:leader="none"/>
          <w:tab w:val="left" w:pos="7371" w:leader="none"/>
        </w:tabs>
        <w:spacing w:lineRule="auto" w:line="276" w:before="0" w:after="120"/>
        <w:jc w:val="both"/>
        <w:rPr/>
      </w:pPr>
      <w:r>
        <w:rPr/>
      </w:r>
    </w:p>
    <w:p>
      <w:pPr>
        <w:pStyle w:val="Normal"/>
        <w:tabs>
          <w:tab w:val="left" w:pos="-2127" w:leader="none"/>
          <w:tab w:val="left" w:pos="567" w:leader="none"/>
          <w:tab w:val="left" w:pos="1134" w:leader="none"/>
          <w:tab w:val="left" w:pos="7371" w:leader="none"/>
        </w:tabs>
        <w:spacing w:lineRule="auto" w:line="276" w:before="0" w:after="120"/>
        <w:jc w:val="both"/>
        <w:rPr/>
      </w:pPr>
      <w:r>
        <w:rPr/>
      </w:r>
    </w:p>
    <w:p>
      <w:pPr>
        <w:pStyle w:val="Normal"/>
        <w:tabs>
          <w:tab w:val="left" w:pos="-2127" w:leader="none"/>
          <w:tab w:val="left" w:pos="567" w:leader="none"/>
          <w:tab w:val="left" w:pos="1134" w:leader="none"/>
          <w:tab w:val="left" w:pos="7371" w:leader="none"/>
        </w:tabs>
        <w:spacing w:lineRule="auto" w:line="276" w:before="0" w:after="120"/>
        <w:jc w:val="center"/>
        <w:rPr/>
      </w:pPr>
      <w:r>
        <w:rPr/>
        <w:t>Предложение участника конкурсного отбора:</w:t>
      </w:r>
    </w:p>
    <w:p>
      <w:pPr>
        <w:pStyle w:val="Normal"/>
        <w:tabs>
          <w:tab w:val="left" w:pos="-2127" w:leader="none"/>
          <w:tab w:val="left" w:pos="567" w:leader="none"/>
          <w:tab w:val="left" w:pos="1134" w:leader="none"/>
          <w:tab w:val="left" w:pos="7371" w:leader="none"/>
        </w:tabs>
        <w:spacing w:lineRule="auto" w:line="276" w:before="0" w:after="120"/>
        <w:jc w:val="both"/>
        <w:rPr/>
      </w:pPr>
      <w:r>
        <w:rPr/>
      </w:r>
    </w:p>
    <w:tbl>
      <w:tblPr>
        <w:tblW w:w="9450" w:type="dxa"/>
        <w:jc w:val="left"/>
        <w:tblInd w:w="-20" w:type="dxa"/>
        <w:tblBorders>
          <w:top w:val="single" w:sz="4" w:space="0" w:color="000000"/>
          <w:left w:val="single" w:sz="4" w:space="0" w:color="000000"/>
          <w:bottom w:val="single" w:sz="4" w:space="0" w:color="000000"/>
          <w:insideH w:val="single" w:sz="4" w:space="0" w:color="000000"/>
        </w:tblBorders>
        <w:tblCellMar>
          <w:top w:w="60" w:type="dxa"/>
          <w:left w:w="55" w:type="dxa"/>
          <w:bottom w:w="60" w:type="dxa"/>
          <w:right w:w="60" w:type="dxa"/>
        </w:tblCellMar>
      </w:tblPr>
      <w:tblGrid>
        <w:gridCol w:w="4972"/>
        <w:gridCol w:w="4478"/>
      </w:tblGrid>
      <w:tr>
        <w:trPr>
          <w:trHeight w:val="240" w:hRule="atLeast"/>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vAlign w:val="center"/>
          </w:tcPr>
          <w:p>
            <w:pPr>
              <w:pStyle w:val="Style19"/>
              <w:spacing w:lineRule="auto" w:line="276" w:before="0" w:after="0"/>
              <w:jc w:val="center"/>
              <w:rPr/>
            </w:pPr>
            <w:r>
              <w:rPr/>
              <w:t>Критерии конкурсного отбора</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pacing w:lineRule="auto" w:line="276" w:before="0" w:after="0"/>
              <w:jc w:val="center"/>
              <w:rPr/>
            </w:pPr>
            <w:r>
              <w:rPr/>
              <w:t>Информация, предоставляемая участником</w:t>
            </w:r>
          </w:p>
        </w:tc>
      </w:tr>
      <w:tr>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tcPr>
          <w:p>
            <w:pPr>
              <w:pStyle w:val="Normal"/>
              <w:snapToGrid w:val="false"/>
              <w:spacing w:lineRule="atLeast" w:line="200"/>
              <w:ind w:left="87" w:hanging="0"/>
              <w:jc w:val="both"/>
              <w:rPr>
                <w:color w:val="000000"/>
              </w:rPr>
            </w:pPr>
            <w:r>
              <w:rPr>
                <w:color w:val="000000"/>
              </w:rPr>
              <w:t>Опыт организации в  реализации инвестиционных проектов</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napToGrid w:val="false"/>
              <w:spacing w:before="0" w:after="0"/>
              <w:rPr>
                <w:color w:val="000000"/>
              </w:rPr>
            </w:pPr>
            <w:r>
              <w:rPr>
                <w:color w:val="000000"/>
              </w:rPr>
            </w:r>
          </w:p>
        </w:tc>
      </w:tr>
      <w:tr>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tcPr>
          <w:p>
            <w:pPr>
              <w:pStyle w:val="Normal"/>
              <w:snapToGrid w:val="false"/>
              <w:spacing w:lineRule="atLeast" w:line="200"/>
              <w:ind w:left="87" w:hanging="0"/>
              <w:jc w:val="both"/>
              <w:rPr>
                <w:color w:val="000000"/>
              </w:rPr>
            </w:pPr>
            <w:r>
              <w:rPr>
                <w:color w:val="000000"/>
              </w:rPr>
              <w:t>Опыт организации в финансировании инвестиционных проектов</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napToGrid w:val="false"/>
              <w:spacing w:before="0" w:after="0"/>
              <w:rPr>
                <w:color w:val="000000"/>
              </w:rPr>
            </w:pPr>
            <w:r>
              <w:rPr>
                <w:color w:val="000000"/>
              </w:rPr>
            </w:r>
          </w:p>
        </w:tc>
      </w:tr>
      <w:tr>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tcPr>
          <w:p>
            <w:pPr>
              <w:pStyle w:val="Normal"/>
              <w:snapToGrid w:val="false"/>
              <w:spacing w:lineRule="atLeast" w:line="200"/>
              <w:ind w:left="87" w:hanging="0"/>
              <w:jc w:val="both"/>
              <w:rPr/>
            </w:pPr>
            <w:r>
              <w:rPr>
                <w:color w:val="000000"/>
              </w:rPr>
              <w:t>Наличие финансовых средств на реализацию инвестиционного соглашения</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napToGrid w:val="false"/>
              <w:spacing w:before="0" w:after="0"/>
              <w:rPr>
                <w:color w:val="008000"/>
              </w:rPr>
            </w:pPr>
            <w:r>
              <w:rPr>
                <w:color w:val="008000"/>
              </w:rPr>
            </w:r>
          </w:p>
        </w:tc>
      </w:tr>
      <w:tr>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tcPr>
          <w:p>
            <w:pPr>
              <w:pStyle w:val="Normal"/>
              <w:snapToGrid w:val="false"/>
              <w:spacing w:lineRule="atLeast" w:line="200"/>
              <w:ind w:left="87" w:hanging="0"/>
              <w:jc w:val="both"/>
              <w:rPr>
                <w:color w:val="000000"/>
              </w:rPr>
            </w:pPr>
            <w:r>
              <w:rPr/>
              <w:t>Отсутствие задолженности по начисленным налогам, сборам и иным обязательным платежам в бюджеты любого уровня</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napToGrid w:val="false"/>
              <w:spacing w:before="0" w:after="0"/>
              <w:rPr>
                <w:color w:val="008000"/>
              </w:rPr>
            </w:pPr>
            <w:r>
              <w:rPr>
                <w:color w:val="008000"/>
              </w:rPr>
            </w:r>
          </w:p>
        </w:tc>
      </w:tr>
      <w:tr>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tcPr>
          <w:p>
            <w:pPr>
              <w:pStyle w:val="Normal"/>
              <w:snapToGrid w:val="false"/>
              <w:spacing w:lineRule="atLeast" w:line="200"/>
              <w:ind w:left="87" w:hanging="0"/>
              <w:jc w:val="both"/>
              <w:rPr/>
            </w:pPr>
            <w:r>
              <w:rPr/>
              <w:t>Наличие отмеченных достижений в сфере инвестиционной деятельности</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napToGrid w:val="false"/>
              <w:spacing w:before="0" w:after="0"/>
              <w:rPr>
                <w:color w:val="008000"/>
              </w:rPr>
            </w:pPr>
            <w:r>
              <w:rPr>
                <w:color w:val="008000"/>
              </w:rPr>
            </w:r>
          </w:p>
        </w:tc>
      </w:tr>
      <w:tr>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tcPr>
          <w:p>
            <w:pPr>
              <w:pStyle w:val="Normal"/>
              <w:snapToGrid w:val="false"/>
              <w:spacing w:lineRule="atLeast" w:line="200"/>
              <w:ind w:left="87" w:hanging="0"/>
              <w:jc w:val="both"/>
              <w:rPr>
                <w:color w:val="000000"/>
              </w:rPr>
            </w:pPr>
            <w:r>
              <w:rPr>
                <w:color w:val="000000"/>
              </w:rPr>
              <w:t>Срок реализации инвестиционного соглашения</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napToGrid w:val="false"/>
              <w:spacing w:before="0" w:after="0"/>
              <w:rPr>
                <w:color w:val="008000"/>
              </w:rPr>
            </w:pPr>
            <w:r>
              <w:rPr>
                <w:color w:val="008000"/>
              </w:rPr>
            </w:r>
          </w:p>
        </w:tc>
      </w:tr>
      <w:tr>
        <w:trPr/>
        <w:tc>
          <w:tcPr>
            <w:tcW w:w="4972" w:type="dxa"/>
            <w:tcBorders>
              <w:top w:val="single" w:sz="4" w:space="0" w:color="000000"/>
              <w:left w:val="single" w:sz="4" w:space="0" w:color="000000"/>
              <w:bottom w:val="single" w:sz="4" w:space="0" w:color="000000"/>
              <w:insideH w:val="single" w:sz="4" w:space="0" w:color="000000"/>
            </w:tcBorders>
            <w:shd w:fill="auto" w:val="clear"/>
            <w:tcMar>
              <w:left w:w="55" w:type="dxa"/>
            </w:tcMar>
          </w:tcPr>
          <w:p>
            <w:pPr>
              <w:pStyle w:val="Normal"/>
              <w:snapToGrid w:val="false"/>
              <w:spacing w:lineRule="atLeast" w:line="200"/>
              <w:ind w:left="87" w:hanging="0"/>
              <w:jc w:val="both"/>
              <w:rPr>
                <w:color w:val="000000"/>
              </w:rPr>
            </w:pPr>
            <w:r>
              <w:rPr>
                <w:color w:val="000000"/>
              </w:rPr>
              <w:t>Стоимость производства и передачи 1 Гкал тепловой энергии с периодом окупаемости инвестиционного капитала 10 лет (без учета НДС)</w:t>
            </w:r>
          </w:p>
        </w:tc>
        <w:tc>
          <w:tcPr>
            <w:tcW w:w="44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55" w:type="dxa"/>
            </w:tcMar>
            <w:vAlign w:val="center"/>
          </w:tcPr>
          <w:p>
            <w:pPr>
              <w:pStyle w:val="Style19"/>
              <w:snapToGrid w:val="false"/>
              <w:spacing w:before="0" w:after="0"/>
              <w:rPr>
                <w:color w:val="008000"/>
              </w:rPr>
            </w:pPr>
            <w:r>
              <w:rPr>
                <w:color w:val="008000"/>
              </w:rPr>
            </w:r>
          </w:p>
        </w:tc>
      </w:tr>
    </w:tbl>
    <w:p>
      <w:pPr>
        <w:pStyle w:val="31"/>
        <w:suppressAutoHyphens w:val="false"/>
        <w:spacing w:lineRule="auto" w:line="276" w:before="0" w:after="0"/>
        <w:ind w:firstLine="567"/>
        <w:jc w:val="both"/>
        <w:rPr>
          <w:bCs/>
          <w:sz w:val="24"/>
          <w:szCs w:val="24"/>
          <w:lang w:val="ru-RU"/>
        </w:rPr>
      </w:pPr>
      <w:r>
        <w:rPr>
          <w:bCs/>
          <w:sz w:val="24"/>
          <w:szCs w:val="24"/>
          <w:lang w:val="ru-RU"/>
        </w:rPr>
      </w:r>
    </w:p>
    <w:p>
      <w:pPr>
        <w:pStyle w:val="31"/>
        <w:suppressAutoHyphens w:val="false"/>
        <w:spacing w:lineRule="auto" w:line="276" w:before="0" w:after="0"/>
        <w:ind w:firstLine="567"/>
        <w:jc w:val="both"/>
        <w:rPr/>
      </w:pPr>
      <w:r>
        <w:rPr>
          <w:bCs/>
          <w:sz w:val="24"/>
          <w:szCs w:val="24"/>
        </w:rPr>
        <w:t>Настоящей заявкой на участие в конкурс</w:t>
      </w:r>
      <w:r>
        <w:rPr>
          <w:bCs/>
          <w:sz w:val="24"/>
          <w:szCs w:val="24"/>
          <w:lang w:val="ru-RU"/>
        </w:rPr>
        <w:t>ном отборе</w:t>
      </w:r>
      <w:r>
        <w:rPr>
          <w:bCs/>
          <w:sz w:val="24"/>
          <w:szCs w:val="24"/>
        </w:rPr>
        <w:t xml:space="preserve"> гарантируем достоверность представленных нами в заявке на участие в конкурсе сведений и подтверждаем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pPr>
        <w:pStyle w:val="31"/>
        <w:tabs>
          <w:tab w:val="left" w:pos="0" w:leader="none"/>
        </w:tabs>
        <w:suppressAutoHyphens w:val="false"/>
        <w:spacing w:lineRule="auto" w:line="276" w:before="0" w:after="0"/>
        <w:ind w:firstLine="567"/>
        <w:jc w:val="both"/>
        <w:rPr>
          <w:bCs/>
          <w:sz w:val="24"/>
          <w:szCs w:val="24"/>
        </w:rPr>
      </w:pPr>
      <w:r>
        <w:rPr>
          <w:bCs/>
          <w:sz w:val="24"/>
          <w:szCs w:val="24"/>
        </w:rPr>
        <w:t>В случае, если наш</w:t>
      </w:r>
      <w:r>
        <w:rPr>
          <w:bCs/>
          <w:sz w:val="24"/>
          <w:szCs w:val="24"/>
          <w:lang w:val="ru-RU"/>
        </w:rPr>
        <w:t>ей заявке</w:t>
      </w:r>
      <w:r>
        <w:rPr>
          <w:bCs/>
          <w:sz w:val="24"/>
          <w:szCs w:val="24"/>
        </w:rPr>
        <w:t xml:space="preserve"> буд</w:t>
      </w:r>
      <w:r>
        <w:rPr>
          <w:bCs/>
          <w:sz w:val="24"/>
          <w:szCs w:val="24"/>
          <w:lang w:val="ru-RU"/>
        </w:rPr>
        <w:t>е</w:t>
      </w:r>
      <w:r>
        <w:rPr>
          <w:bCs/>
          <w:sz w:val="24"/>
          <w:szCs w:val="24"/>
        </w:rPr>
        <w:t xml:space="preserve">т </w:t>
      </w:r>
      <w:r>
        <w:rPr>
          <w:bCs/>
          <w:sz w:val="24"/>
          <w:szCs w:val="24"/>
          <w:lang w:val="ru-RU"/>
        </w:rPr>
        <w:t>присвоен первый номер</w:t>
      </w:r>
      <w:r>
        <w:rPr>
          <w:bCs/>
          <w:sz w:val="24"/>
          <w:szCs w:val="24"/>
        </w:rPr>
        <w:t>, мы берем на себя обязательства подписать инвестиционное соглашение  в соответствии с требованиями конкурсной документации и условиями нашего предложения</w:t>
      </w:r>
      <w:r>
        <w:rPr>
          <w:sz w:val="24"/>
          <w:szCs w:val="24"/>
        </w:rPr>
        <w:t>.</w:t>
      </w:r>
    </w:p>
    <w:p>
      <w:pPr>
        <w:pStyle w:val="31"/>
        <w:suppressAutoHyphens w:val="false"/>
        <w:spacing w:lineRule="auto" w:line="276" w:before="0" w:after="0"/>
        <w:ind w:right="75" w:firstLine="567"/>
        <w:jc w:val="both"/>
        <w:rPr>
          <w:sz w:val="24"/>
          <w:szCs w:val="24"/>
          <w:vertAlign w:val="superscript"/>
          <w:lang w:val="ru-RU"/>
        </w:rPr>
      </w:pPr>
      <w:r>
        <w:rPr>
          <w:sz w:val="24"/>
          <w:szCs w:val="24"/>
        </w:rPr>
        <w:t>Сообщаем, что для оперативного уведомления нас по вопросам организационного характера и взаимодействия с Организатором конкурса нами уполномочен(а):________________</w:t>
      </w:r>
      <w:r>
        <w:rPr>
          <w:sz w:val="24"/>
          <w:szCs w:val="24"/>
          <w:lang w:val="ru-RU"/>
        </w:rPr>
        <w:t>_____________________________</w:t>
      </w:r>
      <w:r>
        <w:rPr>
          <w:sz w:val="24"/>
          <w:szCs w:val="24"/>
        </w:rPr>
        <w:t>______</w:t>
      </w:r>
      <w:r>
        <w:rPr>
          <w:sz w:val="24"/>
          <w:szCs w:val="24"/>
          <w:u w:val="single"/>
          <w:lang w:val="ru-RU"/>
        </w:rPr>
        <w:tab/>
        <w:tab/>
        <w:tab/>
      </w:r>
    </w:p>
    <w:p>
      <w:pPr>
        <w:pStyle w:val="Normal"/>
        <w:spacing w:lineRule="auto" w:line="276"/>
        <w:jc w:val="center"/>
        <w:rPr/>
      </w:pPr>
      <w:r>
        <w:rPr>
          <w:vertAlign w:val="superscript"/>
        </w:rPr>
        <w:t xml:space="preserve">(ФИО, должность, контактный телефон, </w:t>
      </w:r>
      <w:r>
        <w:rPr>
          <w:vertAlign w:val="superscript"/>
          <w:lang w:val="en-US"/>
        </w:rPr>
        <w:t>e</w:t>
      </w:r>
      <w:r>
        <w:rPr>
          <w:vertAlign w:val="superscript"/>
        </w:rPr>
        <w:t>-</w:t>
      </w:r>
      <w:r>
        <w:rPr>
          <w:vertAlign w:val="superscript"/>
          <w:lang w:val="en-US"/>
        </w:rPr>
        <w:t>mail</w:t>
      </w:r>
      <w:r>
        <w:rPr>
          <w:vertAlign w:val="superscript"/>
        </w:rPr>
        <w:t xml:space="preserve"> уполномоченного лица)</w:t>
      </w:r>
    </w:p>
    <w:p>
      <w:pPr>
        <w:pStyle w:val="1"/>
        <w:numPr>
          <w:ilvl w:val="0"/>
          <w:numId w:val="1"/>
        </w:numPr>
        <w:ind w:firstLine="709"/>
        <w:jc w:val="right"/>
        <w:rPr/>
      </w:pPr>
      <w:r>
        <w:rPr/>
      </w:r>
      <w:r>
        <mc:AlternateContent>
          <mc:Choice Requires="wps">
            <w:drawing>
              <wp:anchor behindDoc="0" distT="0" distB="0" distL="0" distR="114935" simplePos="0" locked="0" layoutInCell="1" allowOverlap="1" relativeHeight="3">
                <wp:simplePos x="0" y="0"/>
                <wp:positionH relativeFrom="column">
                  <wp:posOffset>-68580</wp:posOffset>
                </wp:positionH>
                <wp:positionV relativeFrom="paragraph">
                  <wp:posOffset>635</wp:posOffset>
                </wp:positionV>
                <wp:extent cx="6076315" cy="637540"/>
                <wp:effectExtent l="0" t="0" r="0" b="0"/>
                <wp:wrapSquare wrapText="largest"/>
                <wp:docPr id="2" name="Врезка2"/>
                <a:graphic xmlns:a="http://schemas.openxmlformats.org/drawingml/2006/main">
                  <a:graphicData uri="http://schemas.microsoft.com/office/word/2010/wordprocessingShape">
                    <wps:wsp>
                      <wps:cNvSpPr txBox="1"/>
                      <wps:spPr>
                        <a:xfrm>
                          <a:off x="0" y="0"/>
                          <a:ext cx="6076315" cy="637540"/>
                        </a:xfrm>
                        <a:prstGeom prst="rect"/>
                        <a:solidFill>
                          <a:srgbClr val="FFFFFF">
                            <a:alpha val="0"/>
                          </a:srgbClr>
                        </a:solidFill>
                      </wps:spPr>
                      <wps:txbx>
                        <w:txbxContent>
                          <w:tbl>
                            <w:tblPr>
                              <w:tblW w:w="9570" w:type="dxa"/>
                              <w:jc w:val="left"/>
                              <w:tblInd w:w="108" w:type="dxa"/>
                              <w:tblBorders>
                                <w:bottom w:val="single" w:sz="4" w:space="0" w:color="000000"/>
                                <w:insideH w:val="single" w:sz="4" w:space="0" w:color="000000"/>
                              </w:tblBorders>
                              <w:tblCellMar>
                                <w:top w:w="0" w:type="dxa"/>
                                <w:left w:w="108" w:type="dxa"/>
                                <w:bottom w:w="0" w:type="dxa"/>
                                <w:right w:w="108" w:type="dxa"/>
                              </w:tblCellMar>
                            </w:tblPr>
                            <w:tblGrid>
                              <w:gridCol w:w="3310"/>
                              <w:gridCol w:w="873"/>
                              <w:gridCol w:w="5387"/>
                            </w:tblGrid>
                            <w:tr>
                              <w:trPr/>
                              <w:tc>
                                <w:tcPr>
                                  <w:tcW w:w="3310" w:type="dxa"/>
                                  <w:tcBorders>
                                    <w:bottom w:val="single" w:sz="4" w:space="0" w:color="000000"/>
                                    <w:insideH w:val="single" w:sz="4" w:space="0" w:color="000000"/>
                                  </w:tcBorders>
                                  <w:shd w:fill="auto" w:val="clear"/>
                                </w:tcPr>
                                <w:p>
                                  <w:pPr>
                                    <w:pStyle w:val="Normal"/>
                                    <w:snapToGrid w:val="false"/>
                                    <w:jc w:val="center"/>
                                    <w:rPr>
                                      <w:sz w:val="28"/>
                                      <w:szCs w:val="28"/>
                                    </w:rPr>
                                  </w:pPr>
                                  <w:r>
                                    <w:rPr>
                                      <w:sz w:val="28"/>
                                      <w:szCs w:val="28"/>
                                    </w:rPr>
                                  </w:r>
                                </w:p>
                              </w:tc>
                              <w:tc>
                                <w:tcPr>
                                  <w:tcW w:w="873" w:type="dxa"/>
                                  <w:tcBorders/>
                                  <w:shd w:fill="auto" w:val="clear"/>
                                </w:tcPr>
                                <w:p>
                                  <w:pPr>
                                    <w:pStyle w:val="Normal"/>
                                    <w:snapToGrid w:val="false"/>
                                    <w:jc w:val="both"/>
                                    <w:rPr>
                                      <w:sz w:val="28"/>
                                      <w:szCs w:val="28"/>
                                    </w:rPr>
                                  </w:pPr>
                                  <w:r>
                                    <w:rPr>
                                      <w:sz w:val="28"/>
                                      <w:szCs w:val="28"/>
                                    </w:rPr>
                                  </w:r>
                                </w:p>
                              </w:tc>
                              <w:tc>
                                <w:tcPr>
                                  <w:tcW w:w="5387" w:type="dxa"/>
                                  <w:tcBorders>
                                    <w:bottom w:val="single" w:sz="4" w:space="0" w:color="000000"/>
                                    <w:insideH w:val="single" w:sz="4" w:space="0" w:color="000000"/>
                                  </w:tcBorders>
                                  <w:shd w:fill="auto" w:val="clear"/>
                                </w:tcPr>
                                <w:p>
                                  <w:pPr>
                                    <w:pStyle w:val="Normal"/>
                                    <w:snapToGrid w:val="false"/>
                                    <w:jc w:val="both"/>
                                    <w:rPr>
                                      <w:sz w:val="28"/>
                                      <w:szCs w:val="28"/>
                                    </w:rPr>
                                  </w:pPr>
                                  <w:r>
                                    <w:rPr>
                                      <w:sz w:val="28"/>
                                      <w:szCs w:val="28"/>
                                    </w:rPr>
                                  </w:r>
                                </w:p>
                              </w:tc>
                            </w:tr>
                            <w:tr>
                              <w:trPr/>
                              <w:tc>
                                <w:tcPr>
                                  <w:tcW w:w="3310" w:type="dxa"/>
                                  <w:tcBorders>
                                    <w:top w:val="single" w:sz="4" w:space="0" w:color="000000"/>
                                  </w:tcBorders>
                                  <w:shd w:fill="auto" w:val="clear"/>
                                </w:tcPr>
                                <w:p>
                                  <w:pPr>
                                    <w:pStyle w:val="31"/>
                                    <w:spacing w:before="0" w:after="120"/>
                                    <w:jc w:val="center"/>
                                    <w:rPr>
                                      <w:sz w:val="28"/>
                                      <w:szCs w:val="28"/>
                                    </w:rPr>
                                  </w:pPr>
                                  <w:r>
                                    <w:rPr>
                                      <w:bCs/>
                                      <w:sz w:val="20"/>
                                      <w:szCs w:val="20"/>
                                      <w:lang w:val="ru-RU"/>
                                    </w:rPr>
                                    <w:t>(подпись)</w:t>
                                  </w:r>
                                </w:p>
                              </w:tc>
                              <w:tc>
                                <w:tcPr>
                                  <w:tcW w:w="873" w:type="dxa"/>
                                  <w:tcBorders/>
                                  <w:shd w:fill="auto" w:val="clear"/>
                                </w:tcPr>
                                <w:p>
                                  <w:pPr>
                                    <w:pStyle w:val="Normal"/>
                                    <w:snapToGrid w:val="false"/>
                                    <w:jc w:val="center"/>
                                    <w:rPr>
                                      <w:sz w:val="28"/>
                                      <w:szCs w:val="28"/>
                                    </w:rPr>
                                  </w:pPr>
                                  <w:r>
                                    <w:rPr>
                                      <w:sz w:val="28"/>
                                      <w:szCs w:val="28"/>
                                    </w:rPr>
                                  </w:r>
                                </w:p>
                              </w:tc>
                              <w:tc>
                                <w:tcPr>
                                  <w:tcW w:w="5387" w:type="dxa"/>
                                  <w:tcBorders>
                                    <w:top w:val="single" w:sz="4" w:space="0" w:color="000000"/>
                                  </w:tcBorders>
                                  <w:shd w:fill="auto" w:val="clear"/>
                                </w:tcPr>
                                <w:p>
                                  <w:pPr>
                                    <w:pStyle w:val="31"/>
                                    <w:spacing w:before="0" w:after="120"/>
                                    <w:jc w:val="center"/>
                                    <w:rPr>
                                      <w:sz w:val="28"/>
                                      <w:szCs w:val="28"/>
                                    </w:rPr>
                                  </w:pPr>
                                  <w:r>
                                    <w:rPr>
                                      <w:bCs/>
                                      <w:sz w:val="20"/>
                                      <w:szCs w:val="20"/>
                                      <w:lang w:val="ru-RU"/>
                                    </w:rPr>
                                    <w:t>(фамилия, имя, отчество подписавшего, должность)</w:t>
                                  </w:r>
                                </w:p>
                              </w:tc>
                            </w:tr>
                            <w:tr>
                              <w:trPr/>
                              <w:tc>
                                <w:tcPr>
                                  <w:tcW w:w="3310" w:type="dxa"/>
                                  <w:tcBorders/>
                                  <w:shd w:fill="auto" w:val="clear"/>
                                </w:tcPr>
                                <w:p>
                                  <w:pPr>
                                    <w:pStyle w:val="Normal"/>
                                    <w:snapToGrid w:val="false"/>
                                    <w:jc w:val="center"/>
                                    <w:rPr>
                                      <w:sz w:val="28"/>
                                      <w:szCs w:val="28"/>
                                    </w:rPr>
                                  </w:pPr>
                                  <w:r>
                                    <w:rPr>
                                      <w:sz w:val="28"/>
                                      <w:szCs w:val="28"/>
                                    </w:rPr>
                                  </w:r>
                                </w:p>
                              </w:tc>
                              <w:tc>
                                <w:tcPr>
                                  <w:tcW w:w="873" w:type="dxa"/>
                                  <w:tcBorders/>
                                  <w:shd w:fill="auto" w:val="clear"/>
                                </w:tcPr>
                                <w:p>
                                  <w:pPr>
                                    <w:pStyle w:val="Normal"/>
                                    <w:jc w:val="center"/>
                                    <w:rPr>
                                      <w:sz w:val="28"/>
                                      <w:szCs w:val="28"/>
                                    </w:rPr>
                                  </w:pPr>
                                  <w:r>
                                    <w:rPr>
                                      <w:sz w:val="20"/>
                                      <w:szCs w:val="20"/>
                                    </w:rPr>
                                    <w:t>М.П.</w:t>
                                  </w:r>
                                </w:p>
                              </w:tc>
                              <w:tc>
                                <w:tcPr>
                                  <w:tcW w:w="5387" w:type="dxa"/>
                                  <w:tcBorders/>
                                  <w:shd w:fill="auto" w:val="clear"/>
                                </w:tcPr>
                                <w:p>
                                  <w:pPr>
                                    <w:pStyle w:val="Normal"/>
                                    <w:tabs>
                                      <w:tab w:val="left" w:pos="2727" w:leader="none"/>
                                      <w:tab w:val="left" w:pos="3649" w:leader="none"/>
                                    </w:tabs>
                                    <w:snapToGrid w:val="false"/>
                                    <w:ind w:right="34" w:hanging="0"/>
                                    <w:jc w:val="center"/>
                                    <w:rPr>
                                      <w:sz w:val="28"/>
                                      <w:szCs w:val="28"/>
                                    </w:rPr>
                                  </w:pPr>
                                  <w:r>
                                    <w:rPr>
                                      <w:sz w:val="28"/>
                                      <w:szCs w:val="28"/>
                                    </w:rPr>
                                  </w:r>
                                </w:p>
                              </w:tc>
                            </w:tr>
                          </w:tbl>
                          <w:p>
                            <w:pPr>
                              <w:pStyle w:val="Normal"/>
                              <w:rPr/>
                            </w:pPr>
                            <w:r>
                              <w:rPr/>
                              <w:t xml:space="preserve"> </w:t>
                            </w:r>
                          </w:p>
                        </w:txbxContent>
                      </wps:txbx>
                      <wps:bodyPr anchor="t" lIns="635" tIns="635" rIns="635" bIns="635">
                        <a:noAutofit/>
                      </wps:bodyPr>
                    </wps:wsp>
                  </a:graphicData>
                </a:graphic>
              </wp:anchor>
            </w:drawing>
          </mc:Choice>
          <mc:Fallback>
            <w:pict>
              <v:rect fillcolor="#FFFFFF" style="position:absolute;rotation:0;width:478.45pt;height:50.2pt;mso-wrap-distance-left:0pt;mso-wrap-distance-right:9.05pt;margin-top:0.05pt;mso-position-vertical-relative:text;margin-left:-5.4pt;mso-position-horizontal-relative:text">
                <v:fill opacity="0f"/>
                <v:textbox inset="0.000694444444444444in,0.000694444444444444in,0.000694444444444444in,0.000694444444444444in">
                  <w:txbxContent>
                    <w:tbl>
                      <w:tblPr>
                        <w:tblW w:w="9570" w:type="dxa"/>
                        <w:jc w:val="left"/>
                        <w:tblInd w:w="108" w:type="dxa"/>
                        <w:tblBorders>
                          <w:bottom w:val="single" w:sz="4" w:space="0" w:color="000000"/>
                          <w:insideH w:val="single" w:sz="4" w:space="0" w:color="000000"/>
                        </w:tblBorders>
                        <w:tblCellMar>
                          <w:top w:w="0" w:type="dxa"/>
                          <w:left w:w="108" w:type="dxa"/>
                          <w:bottom w:w="0" w:type="dxa"/>
                          <w:right w:w="108" w:type="dxa"/>
                        </w:tblCellMar>
                      </w:tblPr>
                      <w:tblGrid>
                        <w:gridCol w:w="3310"/>
                        <w:gridCol w:w="873"/>
                        <w:gridCol w:w="5387"/>
                      </w:tblGrid>
                      <w:tr>
                        <w:trPr/>
                        <w:tc>
                          <w:tcPr>
                            <w:tcW w:w="3310" w:type="dxa"/>
                            <w:tcBorders>
                              <w:bottom w:val="single" w:sz="4" w:space="0" w:color="000000"/>
                              <w:insideH w:val="single" w:sz="4" w:space="0" w:color="000000"/>
                            </w:tcBorders>
                            <w:shd w:fill="auto" w:val="clear"/>
                          </w:tcPr>
                          <w:p>
                            <w:pPr>
                              <w:pStyle w:val="Normal"/>
                              <w:snapToGrid w:val="false"/>
                              <w:jc w:val="center"/>
                              <w:rPr>
                                <w:sz w:val="28"/>
                                <w:szCs w:val="28"/>
                              </w:rPr>
                            </w:pPr>
                            <w:r>
                              <w:rPr>
                                <w:sz w:val="28"/>
                                <w:szCs w:val="28"/>
                              </w:rPr>
                            </w:r>
                          </w:p>
                        </w:tc>
                        <w:tc>
                          <w:tcPr>
                            <w:tcW w:w="873" w:type="dxa"/>
                            <w:tcBorders/>
                            <w:shd w:fill="auto" w:val="clear"/>
                          </w:tcPr>
                          <w:p>
                            <w:pPr>
                              <w:pStyle w:val="Normal"/>
                              <w:snapToGrid w:val="false"/>
                              <w:jc w:val="both"/>
                              <w:rPr>
                                <w:sz w:val="28"/>
                                <w:szCs w:val="28"/>
                              </w:rPr>
                            </w:pPr>
                            <w:r>
                              <w:rPr>
                                <w:sz w:val="28"/>
                                <w:szCs w:val="28"/>
                              </w:rPr>
                            </w:r>
                          </w:p>
                        </w:tc>
                        <w:tc>
                          <w:tcPr>
                            <w:tcW w:w="5387" w:type="dxa"/>
                            <w:tcBorders>
                              <w:bottom w:val="single" w:sz="4" w:space="0" w:color="000000"/>
                              <w:insideH w:val="single" w:sz="4" w:space="0" w:color="000000"/>
                            </w:tcBorders>
                            <w:shd w:fill="auto" w:val="clear"/>
                          </w:tcPr>
                          <w:p>
                            <w:pPr>
                              <w:pStyle w:val="Normal"/>
                              <w:snapToGrid w:val="false"/>
                              <w:jc w:val="both"/>
                              <w:rPr>
                                <w:sz w:val="28"/>
                                <w:szCs w:val="28"/>
                              </w:rPr>
                            </w:pPr>
                            <w:r>
                              <w:rPr>
                                <w:sz w:val="28"/>
                                <w:szCs w:val="28"/>
                              </w:rPr>
                            </w:r>
                          </w:p>
                        </w:tc>
                      </w:tr>
                      <w:tr>
                        <w:trPr/>
                        <w:tc>
                          <w:tcPr>
                            <w:tcW w:w="3310" w:type="dxa"/>
                            <w:tcBorders>
                              <w:top w:val="single" w:sz="4" w:space="0" w:color="000000"/>
                            </w:tcBorders>
                            <w:shd w:fill="auto" w:val="clear"/>
                          </w:tcPr>
                          <w:p>
                            <w:pPr>
                              <w:pStyle w:val="31"/>
                              <w:spacing w:before="0" w:after="120"/>
                              <w:jc w:val="center"/>
                              <w:rPr>
                                <w:sz w:val="28"/>
                                <w:szCs w:val="28"/>
                              </w:rPr>
                            </w:pPr>
                            <w:r>
                              <w:rPr>
                                <w:bCs/>
                                <w:sz w:val="20"/>
                                <w:szCs w:val="20"/>
                                <w:lang w:val="ru-RU"/>
                              </w:rPr>
                              <w:t>(подпись)</w:t>
                            </w:r>
                          </w:p>
                        </w:tc>
                        <w:tc>
                          <w:tcPr>
                            <w:tcW w:w="873" w:type="dxa"/>
                            <w:tcBorders/>
                            <w:shd w:fill="auto" w:val="clear"/>
                          </w:tcPr>
                          <w:p>
                            <w:pPr>
                              <w:pStyle w:val="Normal"/>
                              <w:snapToGrid w:val="false"/>
                              <w:jc w:val="center"/>
                              <w:rPr>
                                <w:sz w:val="28"/>
                                <w:szCs w:val="28"/>
                              </w:rPr>
                            </w:pPr>
                            <w:r>
                              <w:rPr>
                                <w:sz w:val="28"/>
                                <w:szCs w:val="28"/>
                              </w:rPr>
                            </w:r>
                          </w:p>
                        </w:tc>
                        <w:tc>
                          <w:tcPr>
                            <w:tcW w:w="5387" w:type="dxa"/>
                            <w:tcBorders>
                              <w:top w:val="single" w:sz="4" w:space="0" w:color="000000"/>
                            </w:tcBorders>
                            <w:shd w:fill="auto" w:val="clear"/>
                          </w:tcPr>
                          <w:p>
                            <w:pPr>
                              <w:pStyle w:val="31"/>
                              <w:spacing w:before="0" w:after="120"/>
                              <w:jc w:val="center"/>
                              <w:rPr>
                                <w:sz w:val="28"/>
                                <w:szCs w:val="28"/>
                              </w:rPr>
                            </w:pPr>
                            <w:r>
                              <w:rPr>
                                <w:bCs/>
                                <w:sz w:val="20"/>
                                <w:szCs w:val="20"/>
                                <w:lang w:val="ru-RU"/>
                              </w:rPr>
                              <w:t>(фамилия, имя, отчество подписавшего, должность)</w:t>
                            </w:r>
                          </w:p>
                        </w:tc>
                      </w:tr>
                      <w:tr>
                        <w:trPr/>
                        <w:tc>
                          <w:tcPr>
                            <w:tcW w:w="3310" w:type="dxa"/>
                            <w:tcBorders/>
                            <w:shd w:fill="auto" w:val="clear"/>
                          </w:tcPr>
                          <w:p>
                            <w:pPr>
                              <w:pStyle w:val="Normal"/>
                              <w:snapToGrid w:val="false"/>
                              <w:jc w:val="center"/>
                              <w:rPr>
                                <w:sz w:val="28"/>
                                <w:szCs w:val="28"/>
                              </w:rPr>
                            </w:pPr>
                            <w:r>
                              <w:rPr>
                                <w:sz w:val="28"/>
                                <w:szCs w:val="28"/>
                              </w:rPr>
                            </w:r>
                          </w:p>
                        </w:tc>
                        <w:tc>
                          <w:tcPr>
                            <w:tcW w:w="873" w:type="dxa"/>
                            <w:tcBorders/>
                            <w:shd w:fill="auto" w:val="clear"/>
                          </w:tcPr>
                          <w:p>
                            <w:pPr>
                              <w:pStyle w:val="Normal"/>
                              <w:jc w:val="center"/>
                              <w:rPr>
                                <w:sz w:val="28"/>
                                <w:szCs w:val="28"/>
                              </w:rPr>
                            </w:pPr>
                            <w:r>
                              <w:rPr>
                                <w:sz w:val="20"/>
                                <w:szCs w:val="20"/>
                              </w:rPr>
                              <w:t>М.П.</w:t>
                            </w:r>
                          </w:p>
                        </w:tc>
                        <w:tc>
                          <w:tcPr>
                            <w:tcW w:w="5387" w:type="dxa"/>
                            <w:tcBorders/>
                            <w:shd w:fill="auto" w:val="clear"/>
                          </w:tcPr>
                          <w:p>
                            <w:pPr>
                              <w:pStyle w:val="Normal"/>
                              <w:tabs>
                                <w:tab w:val="left" w:pos="2727" w:leader="none"/>
                                <w:tab w:val="left" w:pos="3649" w:leader="none"/>
                              </w:tabs>
                              <w:snapToGrid w:val="false"/>
                              <w:ind w:right="34" w:hanging="0"/>
                              <w:jc w:val="center"/>
                              <w:rPr>
                                <w:sz w:val="28"/>
                                <w:szCs w:val="28"/>
                              </w:rPr>
                            </w:pPr>
                            <w:r>
                              <w:rPr>
                                <w:sz w:val="28"/>
                                <w:szCs w:val="28"/>
                              </w:rPr>
                            </w:r>
                          </w:p>
                        </w:tc>
                      </w:tr>
                    </w:tbl>
                    <w:p>
                      <w:pPr>
                        <w:pStyle w:val="Normal"/>
                        <w:rPr/>
                      </w:pPr>
                      <w:r>
                        <w:rPr/>
                        <w:t xml:space="preserve"> </w:t>
                      </w:r>
                    </w:p>
                  </w:txbxContent>
                </v:textbox>
                <w10:wrap type="square" side="largest"/>
              </v:rect>
            </w:pict>
          </mc:Fallback>
        </mc:AlternateConten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right"/>
        <w:rPr/>
      </w:pPr>
      <w:r>
        <w:rPr/>
        <w:t xml:space="preserve">Приложение №2 </w:t>
      </w:r>
    </w:p>
    <w:p>
      <w:pPr>
        <w:pStyle w:val="Normal"/>
        <w:jc w:val="right"/>
        <w:rPr/>
      </w:pPr>
      <w:r>
        <w:rPr/>
        <w:t xml:space="preserve">                                                                                                    </w:t>
      </w:r>
      <w:r>
        <w:rPr/>
        <w:t>к конкурсной документации</w:t>
      </w:r>
    </w:p>
    <w:p>
      <w:pPr>
        <w:pStyle w:val="Normal"/>
        <w:jc w:val="center"/>
        <w:rPr>
          <w:sz w:val="24"/>
          <w:szCs w:val="24"/>
        </w:rPr>
      </w:pPr>
      <w:r>
        <w:rPr>
          <w:sz w:val="24"/>
          <w:szCs w:val="24"/>
        </w:rPr>
      </w:r>
    </w:p>
    <w:p>
      <w:pPr>
        <w:pStyle w:val="Normal"/>
        <w:jc w:val="center"/>
        <w:rPr>
          <w:sz w:val="24"/>
          <w:szCs w:val="24"/>
        </w:rPr>
      </w:pPr>
      <w:r>
        <w:rPr>
          <w:sz w:val="24"/>
          <w:szCs w:val="24"/>
        </w:rPr>
        <w:t>Анкета заявителя</w:t>
      </w:r>
    </w:p>
    <w:p>
      <w:pPr>
        <w:pStyle w:val="Normal"/>
        <w:shd w:fill="FFFFFF" w:val="clear"/>
        <w:spacing w:lineRule="exact" w:line="346"/>
        <w:ind w:right="6" w:hanging="0"/>
        <w:jc w:val="center"/>
        <w:rPr>
          <w:sz w:val="24"/>
          <w:szCs w:val="24"/>
        </w:rPr>
      </w:pPr>
      <w:r>
        <w:rPr>
          <w:sz w:val="24"/>
          <w:szCs w:val="24"/>
        </w:rPr>
      </w:r>
    </w:p>
    <w:tbl>
      <w:tblPr>
        <w:tblW w:w="9560" w:type="dxa"/>
        <w:jc w:val="left"/>
        <w:tblInd w:w="-8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20"/>
        <w:gridCol w:w="4833"/>
        <w:gridCol w:w="7"/>
        <w:gridCol w:w="4000"/>
      </w:tblGrid>
      <w:tr>
        <w:trPr>
          <w:trHeight w:val="548"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spacing w:before="0" w:after="120"/>
              <w:ind w:left="0" w:hanging="0"/>
              <w:jc w:val="center"/>
              <w:rPr>
                <w:sz w:val="24"/>
                <w:szCs w:val="24"/>
                <w:lang w:val="ru-RU"/>
              </w:rPr>
            </w:pPr>
            <w:r>
              <w:rPr>
                <w:sz w:val="24"/>
                <w:szCs w:val="24"/>
                <w:lang w:val="ru-RU"/>
              </w:rPr>
              <w:t xml:space="preserve">№ </w:t>
            </w:r>
            <w:r>
              <w:rPr>
                <w:sz w:val="24"/>
                <w:szCs w:val="24"/>
                <w:lang w:val="ru-RU"/>
              </w:rPr>
              <w:t>п/п</w:t>
            </w:r>
          </w:p>
        </w:tc>
        <w:tc>
          <w:tcPr>
            <w:tcW w:w="483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spacing w:before="0" w:after="120"/>
              <w:jc w:val="center"/>
              <w:rPr>
                <w:sz w:val="24"/>
                <w:szCs w:val="24"/>
                <w:lang w:val="ru-RU"/>
              </w:rPr>
            </w:pPr>
            <w:r>
              <w:rPr>
                <w:sz w:val="24"/>
                <w:szCs w:val="24"/>
                <w:lang w:val="ru-RU"/>
              </w:rPr>
              <w:t>Наименование</w:t>
            </w:r>
          </w:p>
        </w:tc>
        <w:tc>
          <w:tcPr>
            <w:tcW w:w="40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1"/>
              <w:spacing w:before="0" w:after="120"/>
              <w:jc w:val="center"/>
              <w:rPr>
                <w:sz w:val="24"/>
                <w:szCs w:val="24"/>
                <w:lang w:val="ru-RU"/>
              </w:rPr>
            </w:pPr>
            <w:r>
              <w:rPr>
                <w:sz w:val="24"/>
                <w:szCs w:val="24"/>
                <w:lang w:val="ru-RU"/>
              </w:rPr>
              <w:t>Сведения о заявителе</w:t>
            </w:r>
          </w:p>
        </w:tc>
      </w:tr>
      <w:tr>
        <w:trPr>
          <w:trHeight w:val="647"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3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tabs>
                <w:tab w:val="left" w:pos="500" w:leader="none"/>
              </w:tabs>
              <w:rPr>
                <w:sz w:val="28"/>
                <w:szCs w:val="28"/>
              </w:rPr>
            </w:pPr>
            <w:r>
              <w:rPr>
                <w:sz w:val="24"/>
                <w:szCs w:val="24"/>
              </w:rPr>
              <w:t>Наименование участника (Ф.И.О. для физического лица)</w:t>
            </w:r>
          </w:p>
        </w:tc>
        <w:tc>
          <w:tcPr>
            <w:tcW w:w="40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1"/>
              <w:snapToGrid w:val="false"/>
              <w:spacing w:before="0" w:after="120"/>
              <w:rPr>
                <w:sz w:val="24"/>
                <w:szCs w:val="24"/>
                <w:lang w:val="ru-RU"/>
              </w:rPr>
            </w:pPr>
            <w:r>
              <w:rPr>
                <w:sz w:val="24"/>
                <w:szCs w:val="24"/>
                <w:lang w:val="ru-RU"/>
              </w:rPr>
            </w:r>
          </w:p>
        </w:tc>
      </w:tr>
      <w:tr>
        <w:trPr>
          <w:trHeight w:val="695"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3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tabs>
                <w:tab w:val="left" w:pos="500" w:leader="none"/>
              </w:tabs>
              <w:rPr>
                <w:sz w:val="24"/>
                <w:szCs w:val="24"/>
              </w:rPr>
            </w:pPr>
            <w:r>
              <w:rPr>
                <w:sz w:val="24"/>
                <w:szCs w:val="24"/>
              </w:rPr>
              <w:t>Организационно-правовая форма</w:t>
            </w:r>
          </w:p>
          <w:p>
            <w:pPr>
              <w:pStyle w:val="Normal"/>
              <w:tabs>
                <w:tab w:val="left" w:pos="500" w:leader="none"/>
              </w:tabs>
              <w:rPr>
                <w:sz w:val="24"/>
                <w:szCs w:val="24"/>
              </w:rPr>
            </w:pPr>
            <w:r>
              <w:rPr>
                <w:sz w:val="24"/>
                <w:szCs w:val="24"/>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p>
        </w:tc>
        <w:tc>
          <w:tcPr>
            <w:tcW w:w="40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1"/>
              <w:snapToGrid w:val="false"/>
              <w:spacing w:before="0" w:after="120"/>
              <w:rPr>
                <w:sz w:val="24"/>
                <w:szCs w:val="24"/>
                <w:lang w:val="ru-RU"/>
              </w:rPr>
            </w:pPr>
            <w:r>
              <w:rPr>
                <w:sz w:val="24"/>
                <w:szCs w:val="24"/>
                <w:lang w:val="ru-RU"/>
              </w:rPr>
            </w:r>
          </w:p>
        </w:tc>
      </w:tr>
      <w:tr>
        <w:trPr>
          <w:trHeight w:val="403"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3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spacing w:before="0" w:after="120"/>
              <w:ind w:left="72" w:hanging="0"/>
              <w:rPr>
                <w:sz w:val="28"/>
                <w:szCs w:val="28"/>
                <w:lang w:val="ru-RU"/>
              </w:rPr>
            </w:pPr>
            <w:r>
              <w:rPr>
                <w:bCs/>
                <w:sz w:val="24"/>
                <w:szCs w:val="24"/>
                <w:lang w:val="ru-RU"/>
              </w:rPr>
              <w:t>ИНН (при наличии), КПП</w:t>
            </w:r>
          </w:p>
        </w:tc>
        <w:tc>
          <w:tcPr>
            <w:tcW w:w="40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Style21"/>
              <w:snapToGrid w:val="false"/>
              <w:spacing w:before="0" w:after="120"/>
              <w:rPr>
                <w:sz w:val="24"/>
                <w:szCs w:val="24"/>
                <w:lang w:val="ru-RU"/>
              </w:rPr>
            </w:pPr>
            <w:r>
              <w:rPr>
                <w:sz w:val="24"/>
                <w:szCs w:val="24"/>
                <w:lang w:val="ru-RU"/>
              </w:rPr>
            </w:r>
          </w:p>
        </w:tc>
      </w:tr>
      <w:tr>
        <w:trPr>
          <w:trHeight w:val="367"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40"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sz w:val="24"/>
                <w:szCs w:val="24"/>
              </w:rPr>
            </w:pPr>
            <w:r>
              <w:rPr>
                <w:sz w:val="24"/>
                <w:szCs w:val="24"/>
              </w:rPr>
              <w:t>Место нахождения</w:t>
            </w:r>
          </w:p>
        </w:tc>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jc w:val="center"/>
              <w:rPr>
                <w:sz w:val="24"/>
                <w:szCs w:val="24"/>
              </w:rPr>
            </w:pPr>
            <w:r>
              <w:rPr>
                <w:sz w:val="24"/>
                <w:szCs w:val="24"/>
              </w:rPr>
            </w:r>
          </w:p>
        </w:tc>
      </w:tr>
      <w:tr>
        <w:trPr>
          <w:trHeight w:val="429"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40"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sz w:val="24"/>
                <w:szCs w:val="24"/>
              </w:rPr>
            </w:pPr>
            <w:r>
              <w:rPr>
                <w:sz w:val="24"/>
                <w:szCs w:val="24"/>
              </w:rPr>
              <w:t>Почтовый адрес</w:t>
            </w:r>
          </w:p>
        </w:tc>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jc w:val="center"/>
              <w:rPr>
                <w:sz w:val="24"/>
                <w:szCs w:val="24"/>
              </w:rPr>
            </w:pPr>
            <w:r>
              <w:rPr>
                <w:sz w:val="24"/>
                <w:szCs w:val="24"/>
              </w:rPr>
            </w:r>
          </w:p>
        </w:tc>
      </w:tr>
      <w:tr>
        <w:trPr>
          <w:trHeight w:val="1062"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40"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sz w:val="24"/>
                <w:szCs w:val="24"/>
              </w:rPr>
            </w:pPr>
            <w:r>
              <w:rPr>
                <w:sz w:val="24"/>
                <w:szCs w:val="24"/>
              </w:rPr>
              <w:t>ФИО и должность руководителя (полностью)</w:t>
            </w:r>
          </w:p>
          <w:p>
            <w:pPr>
              <w:pStyle w:val="Normal"/>
              <w:rPr>
                <w:sz w:val="24"/>
                <w:szCs w:val="24"/>
              </w:rPr>
            </w:pPr>
            <w:r>
              <w:rPr>
                <w:sz w:val="24"/>
                <w:szCs w:val="24"/>
              </w:rPr>
              <w:t>(для юридического лица)</w:t>
            </w:r>
          </w:p>
          <w:p>
            <w:pPr>
              <w:pStyle w:val="Normal"/>
              <w:rPr>
                <w:sz w:val="24"/>
                <w:szCs w:val="24"/>
              </w:rPr>
            </w:pPr>
            <w:r>
              <w:rPr>
                <w:sz w:val="24"/>
                <w:szCs w:val="24"/>
              </w:rPr>
              <w:t>ФИО и паспортные данные (для физического лица)</w:t>
            </w:r>
          </w:p>
        </w:tc>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jc w:val="center"/>
              <w:rPr>
                <w:sz w:val="24"/>
                <w:szCs w:val="24"/>
              </w:rPr>
            </w:pPr>
            <w:r>
              <w:rPr>
                <w:sz w:val="24"/>
                <w:szCs w:val="24"/>
              </w:rPr>
            </w:r>
          </w:p>
        </w:tc>
      </w:tr>
      <w:tr>
        <w:trPr>
          <w:trHeight w:val="486"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40"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sz w:val="24"/>
                <w:szCs w:val="24"/>
              </w:rPr>
            </w:pPr>
            <w:r>
              <w:rPr>
                <w:sz w:val="24"/>
                <w:szCs w:val="24"/>
              </w:rPr>
              <w:t>Телефоны Участника (с указанием кода города)</w:t>
            </w:r>
          </w:p>
        </w:tc>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jc w:val="center"/>
              <w:rPr>
                <w:sz w:val="24"/>
                <w:szCs w:val="24"/>
              </w:rPr>
            </w:pPr>
            <w:r>
              <w:rPr>
                <w:sz w:val="24"/>
                <w:szCs w:val="24"/>
              </w:rPr>
            </w:r>
          </w:p>
        </w:tc>
      </w:tr>
      <w:tr>
        <w:trPr>
          <w:trHeight w:val="706"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40"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sz w:val="24"/>
                <w:szCs w:val="24"/>
              </w:rPr>
            </w:pPr>
            <w:r>
              <w:rPr>
                <w:sz w:val="24"/>
                <w:szCs w:val="24"/>
              </w:rPr>
              <w:t>Факс Участника (с указанием кода города)</w:t>
            </w:r>
          </w:p>
        </w:tc>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jc w:val="center"/>
              <w:rPr>
                <w:sz w:val="24"/>
                <w:szCs w:val="24"/>
              </w:rPr>
            </w:pPr>
            <w:r>
              <w:rPr>
                <w:sz w:val="24"/>
                <w:szCs w:val="24"/>
              </w:rPr>
            </w:r>
          </w:p>
        </w:tc>
      </w:tr>
      <w:tr>
        <w:trPr>
          <w:trHeight w:val="393"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40"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sz w:val="24"/>
                <w:szCs w:val="24"/>
              </w:rPr>
            </w:pPr>
            <w:r>
              <w:rPr>
                <w:sz w:val="24"/>
                <w:szCs w:val="24"/>
              </w:rPr>
              <w:t>Адрес электронной почты Участника</w:t>
            </w:r>
          </w:p>
        </w:tc>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jc w:val="center"/>
              <w:rPr>
                <w:sz w:val="24"/>
                <w:szCs w:val="24"/>
              </w:rPr>
            </w:pPr>
            <w:r>
              <w:rPr>
                <w:sz w:val="24"/>
                <w:szCs w:val="24"/>
              </w:rPr>
            </w:r>
          </w:p>
        </w:tc>
      </w:tr>
      <w:tr>
        <w:trPr>
          <w:trHeight w:val="712" w:hRule="atLeast"/>
        </w:trPr>
        <w:tc>
          <w:tcPr>
            <w:tcW w:w="720"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Style21"/>
              <w:numPr>
                <w:ilvl w:val="0"/>
                <w:numId w:val="2"/>
              </w:numPr>
              <w:suppressAutoHyphens w:val="false"/>
              <w:snapToGrid w:val="false"/>
              <w:spacing w:before="0" w:after="0"/>
              <w:ind w:left="470" w:hanging="357"/>
              <w:jc w:val="center"/>
              <w:rPr>
                <w:sz w:val="24"/>
                <w:szCs w:val="24"/>
                <w:lang w:val="ru-RU"/>
              </w:rPr>
            </w:pPr>
            <w:r>
              <w:rPr>
                <w:sz w:val="24"/>
                <w:szCs w:val="24"/>
                <w:lang w:val="ru-RU"/>
              </w:rPr>
            </w:r>
          </w:p>
        </w:tc>
        <w:tc>
          <w:tcPr>
            <w:tcW w:w="4840" w:type="dxa"/>
            <w:gridSpan w:val="2"/>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sz w:val="24"/>
                <w:szCs w:val="24"/>
              </w:rPr>
            </w:pPr>
            <w:r>
              <w:rPr>
                <w:sz w:val="24"/>
                <w:szCs w:val="24"/>
              </w:rPr>
              <w:t>Данная сделка является для нас крупной сделкой</w:t>
            </w:r>
          </w:p>
          <w:p>
            <w:pPr>
              <w:pStyle w:val="Normal"/>
              <w:rPr>
                <w:sz w:val="24"/>
                <w:szCs w:val="24"/>
              </w:rPr>
            </w:pPr>
            <w:r>
              <w:rPr>
                <w:sz w:val="24"/>
                <w:szCs w:val="24"/>
              </w:rPr>
              <w:t>(да/нет)</w:t>
            </w:r>
          </w:p>
        </w:tc>
        <w:tc>
          <w:tcPr>
            <w:tcW w:w="40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jc w:val="center"/>
              <w:rPr>
                <w:sz w:val="24"/>
                <w:szCs w:val="24"/>
              </w:rPr>
            </w:pPr>
            <w:r>
              <w:rPr>
                <w:sz w:val="24"/>
                <w:szCs w:val="24"/>
              </w:rPr>
            </w:r>
          </w:p>
        </w:tc>
      </w:tr>
    </w:tbl>
    <w:p>
      <w:pPr>
        <w:pStyle w:val="Normal"/>
        <w:rPr>
          <w:sz w:val="24"/>
          <w:szCs w:val="24"/>
        </w:rPr>
      </w:pPr>
      <w:r>
        <w:rPr>
          <w:sz w:val="24"/>
          <w:szCs w:val="24"/>
        </w:rPr>
      </w:r>
    </w:p>
    <w:p>
      <w:pPr>
        <w:pStyle w:val="Normal"/>
        <w:rPr>
          <w:color w:val="000000"/>
          <w:sz w:val="24"/>
          <w:szCs w:val="24"/>
        </w:rPr>
      </w:pPr>
      <w:r>
        <w:rPr>
          <w:color w:val="000000"/>
          <w:sz w:val="24"/>
          <w:szCs w:val="24"/>
        </w:rPr>
      </w:r>
      <w:r>
        <mc:AlternateContent>
          <mc:Choice Requires="wps">
            <w:drawing>
              <wp:anchor behindDoc="0" distT="0" distB="0" distL="0" distR="114935" simplePos="0" locked="0" layoutInCell="1" allowOverlap="1" relativeHeight="4">
                <wp:simplePos x="0" y="0"/>
                <wp:positionH relativeFrom="column">
                  <wp:posOffset>-68580</wp:posOffset>
                </wp:positionH>
                <wp:positionV relativeFrom="paragraph">
                  <wp:posOffset>635</wp:posOffset>
                </wp:positionV>
                <wp:extent cx="6076315" cy="623570"/>
                <wp:effectExtent l="0" t="0" r="0" b="0"/>
                <wp:wrapSquare wrapText="largest"/>
                <wp:docPr id="3" name="Врезка3"/>
                <a:graphic xmlns:a="http://schemas.openxmlformats.org/drawingml/2006/main">
                  <a:graphicData uri="http://schemas.microsoft.com/office/word/2010/wordprocessingShape">
                    <wps:wsp>
                      <wps:cNvSpPr txBox="1"/>
                      <wps:spPr>
                        <a:xfrm>
                          <a:off x="0" y="0"/>
                          <a:ext cx="6076315" cy="623570"/>
                        </a:xfrm>
                        <a:prstGeom prst="rect"/>
                        <a:solidFill>
                          <a:srgbClr val="FFFFFF">
                            <a:alpha val="0"/>
                          </a:srgbClr>
                        </a:solidFill>
                      </wps:spPr>
                      <wps:txbx>
                        <w:txbxContent>
                          <w:tbl>
                            <w:tblPr>
                              <w:tblW w:w="9570" w:type="dxa"/>
                              <w:jc w:val="left"/>
                              <w:tblInd w:w="108" w:type="dxa"/>
                              <w:tblBorders>
                                <w:bottom w:val="single" w:sz="4" w:space="0" w:color="000000"/>
                                <w:insideH w:val="single" w:sz="4" w:space="0" w:color="000000"/>
                              </w:tblBorders>
                              <w:tblCellMar>
                                <w:top w:w="0" w:type="dxa"/>
                                <w:left w:w="108" w:type="dxa"/>
                                <w:bottom w:w="0" w:type="dxa"/>
                                <w:right w:w="108" w:type="dxa"/>
                              </w:tblCellMar>
                            </w:tblPr>
                            <w:tblGrid>
                              <w:gridCol w:w="3310"/>
                              <w:gridCol w:w="873"/>
                              <w:gridCol w:w="5387"/>
                            </w:tblGrid>
                            <w:tr>
                              <w:trPr/>
                              <w:tc>
                                <w:tcPr>
                                  <w:tcW w:w="3310" w:type="dxa"/>
                                  <w:tcBorders>
                                    <w:bottom w:val="single" w:sz="4" w:space="0" w:color="000000"/>
                                    <w:insideH w:val="single" w:sz="4" w:space="0" w:color="000000"/>
                                  </w:tcBorders>
                                  <w:shd w:fill="auto" w:val="clear"/>
                                </w:tcPr>
                                <w:p>
                                  <w:pPr>
                                    <w:pStyle w:val="Normal"/>
                                    <w:snapToGrid w:val="false"/>
                                    <w:jc w:val="center"/>
                                    <w:rPr>
                                      <w:sz w:val="28"/>
                                      <w:szCs w:val="28"/>
                                    </w:rPr>
                                  </w:pPr>
                                  <w:r>
                                    <w:rPr>
                                      <w:sz w:val="28"/>
                                      <w:szCs w:val="28"/>
                                    </w:rPr>
                                  </w:r>
                                </w:p>
                              </w:tc>
                              <w:tc>
                                <w:tcPr>
                                  <w:tcW w:w="873" w:type="dxa"/>
                                  <w:tcBorders/>
                                  <w:shd w:fill="auto" w:val="clear"/>
                                </w:tcPr>
                                <w:p>
                                  <w:pPr>
                                    <w:pStyle w:val="Normal"/>
                                    <w:snapToGrid w:val="false"/>
                                    <w:jc w:val="both"/>
                                    <w:rPr>
                                      <w:sz w:val="28"/>
                                      <w:szCs w:val="28"/>
                                    </w:rPr>
                                  </w:pPr>
                                  <w:r>
                                    <w:rPr>
                                      <w:sz w:val="28"/>
                                      <w:szCs w:val="28"/>
                                    </w:rPr>
                                  </w:r>
                                </w:p>
                              </w:tc>
                              <w:tc>
                                <w:tcPr>
                                  <w:tcW w:w="5387" w:type="dxa"/>
                                  <w:tcBorders>
                                    <w:bottom w:val="single" w:sz="4" w:space="0" w:color="000000"/>
                                    <w:insideH w:val="single" w:sz="4" w:space="0" w:color="000000"/>
                                  </w:tcBorders>
                                  <w:shd w:fill="auto" w:val="clear"/>
                                </w:tcPr>
                                <w:p>
                                  <w:pPr>
                                    <w:pStyle w:val="Normal"/>
                                    <w:snapToGrid w:val="false"/>
                                    <w:jc w:val="both"/>
                                    <w:rPr>
                                      <w:sz w:val="28"/>
                                      <w:szCs w:val="28"/>
                                    </w:rPr>
                                  </w:pPr>
                                  <w:r>
                                    <w:rPr>
                                      <w:sz w:val="28"/>
                                      <w:szCs w:val="28"/>
                                    </w:rPr>
                                  </w:r>
                                </w:p>
                              </w:tc>
                            </w:tr>
                            <w:tr>
                              <w:trPr>
                                <w:trHeight w:val="430" w:hRule="atLeast"/>
                              </w:trPr>
                              <w:tc>
                                <w:tcPr>
                                  <w:tcW w:w="3310" w:type="dxa"/>
                                  <w:tcBorders>
                                    <w:top w:val="single" w:sz="4" w:space="0" w:color="000000"/>
                                  </w:tcBorders>
                                  <w:shd w:fill="auto" w:val="clear"/>
                                </w:tcPr>
                                <w:p>
                                  <w:pPr>
                                    <w:pStyle w:val="31"/>
                                    <w:spacing w:before="0" w:after="120"/>
                                    <w:jc w:val="center"/>
                                    <w:rPr>
                                      <w:sz w:val="20"/>
                                      <w:szCs w:val="20"/>
                                    </w:rPr>
                                  </w:pPr>
                                  <w:r>
                                    <w:rPr>
                                      <w:bCs/>
                                      <w:sz w:val="20"/>
                                      <w:szCs w:val="20"/>
                                      <w:lang w:val="ru-RU"/>
                                    </w:rPr>
                                    <w:t>(подпись)</w:t>
                                  </w:r>
                                </w:p>
                              </w:tc>
                              <w:tc>
                                <w:tcPr>
                                  <w:tcW w:w="873" w:type="dxa"/>
                                  <w:tcBorders/>
                                  <w:shd w:fill="auto" w:val="clear"/>
                                </w:tcPr>
                                <w:p>
                                  <w:pPr>
                                    <w:pStyle w:val="Normal"/>
                                    <w:snapToGrid w:val="false"/>
                                    <w:jc w:val="center"/>
                                    <w:rPr>
                                      <w:sz w:val="20"/>
                                      <w:szCs w:val="20"/>
                                    </w:rPr>
                                  </w:pPr>
                                  <w:r>
                                    <w:rPr>
                                      <w:sz w:val="20"/>
                                      <w:szCs w:val="20"/>
                                    </w:rPr>
                                  </w:r>
                                </w:p>
                              </w:tc>
                              <w:tc>
                                <w:tcPr>
                                  <w:tcW w:w="5387" w:type="dxa"/>
                                  <w:tcBorders>
                                    <w:top w:val="single" w:sz="4" w:space="0" w:color="000000"/>
                                  </w:tcBorders>
                                  <w:shd w:fill="auto" w:val="clear"/>
                                </w:tcPr>
                                <w:p>
                                  <w:pPr>
                                    <w:pStyle w:val="Normal"/>
                                    <w:jc w:val="center"/>
                                    <w:rPr>
                                      <w:sz w:val="20"/>
                                      <w:szCs w:val="20"/>
                                    </w:rPr>
                                  </w:pPr>
                                  <w:r>
                                    <w:rPr>
                                      <w:bCs/>
                                      <w:sz w:val="20"/>
                                      <w:szCs w:val="20"/>
                                    </w:rPr>
                                    <w:t>(фамилия, имя, отчество подписавшего, должность)</w:t>
                                  </w:r>
                                </w:p>
                              </w:tc>
                            </w:tr>
                            <w:tr>
                              <w:trPr/>
                              <w:tc>
                                <w:tcPr>
                                  <w:tcW w:w="3310" w:type="dxa"/>
                                  <w:tcBorders/>
                                  <w:shd w:fill="auto" w:val="clear"/>
                                </w:tcPr>
                                <w:p>
                                  <w:pPr>
                                    <w:pStyle w:val="Normal"/>
                                    <w:snapToGrid w:val="false"/>
                                    <w:jc w:val="center"/>
                                    <w:rPr>
                                      <w:sz w:val="20"/>
                                      <w:szCs w:val="20"/>
                                    </w:rPr>
                                  </w:pPr>
                                  <w:r>
                                    <w:rPr>
                                      <w:sz w:val="20"/>
                                      <w:szCs w:val="20"/>
                                    </w:rPr>
                                  </w:r>
                                </w:p>
                              </w:tc>
                              <w:tc>
                                <w:tcPr>
                                  <w:tcW w:w="873" w:type="dxa"/>
                                  <w:tcBorders/>
                                  <w:shd w:fill="auto" w:val="clear"/>
                                </w:tcPr>
                                <w:p>
                                  <w:pPr>
                                    <w:pStyle w:val="Normal"/>
                                    <w:jc w:val="center"/>
                                    <w:rPr>
                                      <w:sz w:val="20"/>
                                      <w:szCs w:val="20"/>
                                    </w:rPr>
                                  </w:pPr>
                                  <w:r>
                                    <w:rPr>
                                      <w:sz w:val="20"/>
                                      <w:szCs w:val="20"/>
                                    </w:rPr>
                                    <w:t>М.П.</w:t>
                                  </w:r>
                                </w:p>
                              </w:tc>
                              <w:tc>
                                <w:tcPr>
                                  <w:tcW w:w="5387" w:type="dxa"/>
                                  <w:tcBorders/>
                                  <w:shd w:fill="auto" w:val="clear"/>
                                </w:tcPr>
                                <w:p>
                                  <w:pPr>
                                    <w:pStyle w:val="Normal"/>
                                    <w:tabs>
                                      <w:tab w:val="left" w:pos="2727" w:leader="none"/>
                                      <w:tab w:val="left" w:pos="3649" w:leader="none"/>
                                    </w:tabs>
                                    <w:snapToGrid w:val="false"/>
                                    <w:ind w:right="34" w:hanging="0"/>
                                    <w:jc w:val="center"/>
                                    <w:rPr>
                                      <w:sz w:val="20"/>
                                      <w:szCs w:val="20"/>
                                    </w:rPr>
                                  </w:pPr>
                                  <w:r>
                                    <w:rPr>
                                      <w:sz w:val="20"/>
                                      <w:szCs w:val="20"/>
                                    </w:rPr>
                                  </w:r>
                                </w:p>
                              </w:tc>
                            </w:tr>
                          </w:tbl>
                          <w:p>
                            <w:pPr>
                              <w:pStyle w:val="Normal"/>
                              <w:rPr/>
                            </w:pPr>
                            <w:r>
                              <w:rPr/>
                              <w:t xml:space="preserve"> </w:t>
                            </w:r>
                          </w:p>
                        </w:txbxContent>
                      </wps:txbx>
                      <wps:bodyPr anchor="t" lIns="635" tIns="635" rIns="635" bIns="635">
                        <a:noAutofit/>
                      </wps:bodyPr>
                    </wps:wsp>
                  </a:graphicData>
                </a:graphic>
              </wp:anchor>
            </w:drawing>
          </mc:Choice>
          <mc:Fallback>
            <w:pict>
              <v:rect fillcolor="#FFFFFF" style="position:absolute;rotation:0;width:478.45pt;height:49.1pt;mso-wrap-distance-left:0pt;mso-wrap-distance-right:9.05pt;margin-top:0.05pt;mso-position-vertical-relative:text;margin-left:-5.4pt;mso-position-horizontal-relative:text">
                <v:fill opacity="0f"/>
                <v:textbox inset="0.000694444444444444in,0.000694444444444444in,0.000694444444444444in,0.000694444444444444in">
                  <w:txbxContent>
                    <w:tbl>
                      <w:tblPr>
                        <w:tblW w:w="9570" w:type="dxa"/>
                        <w:jc w:val="left"/>
                        <w:tblInd w:w="108" w:type="dxa"/>
                        <w:tblBorders>
                          <w:bottom w:val="single" w:sz="4" w:space="0" w:color="000000"/>
                          <w:insideH w:val="single" w:sz="4" w:space="0" w:color="000000"/>
                        </w:tblBorders>
                        <w:tblCellMar>
                          <w:top w:w="0" w:type="dxa"/>
                          <w:left w:w="108" w:type="dxa"/>
                          <w:bottom w:w="0" w:type="dxa"/>
                          <w:right w:w="108" w:type="dxa"/>
                        </w:tblCellMar>
                      </w:tblPr>
                      <w:tblGrid>
                        <w:gridCol w:w="3310"/>
                        <w:gridCol w:w="873"/>
                        <w:gridCol w:w="5387"/>
                      </w:tblGrid>
                      <w:tr>
                        <w:trPr/>
                        <w:tc>
                          <w:tcPr>
                            <w:tcW w:w="3310" w:type="dxa"/>
                            <w:tcBorders>
                              <w:bottom w:val="single" w:sz="4" w:space="0" w:color="000000"/>
                              <w:insideH w:val="single" w:sz="4" w:space="0" w:color="000000"/>
                            </w:tcBorders>
                            <w:shd w:fill="auto" w:val="clear"/>
                          </w:tcPr>
                          <w:p>
                            <w:pPr>
                              <w:pStyle w:val="Normal"/>
                              <w:snapToGrid w:val="false"/>
                              <w:jc w:val="center"/>
                              <w:rPr>
                                <w:sz w:val="28"/>
                                <w:szCs w:val="28"/>
                              </w:rPr>
                            </w:pPr>
                            <w:r>
                              <w:rPr>
                                <w:sz w:val="28"/>
                                <w:szCs w:val="28"/>
                              </w:rPr>
                            </w:r>
                          </w:p>
                        </w:tc>
                        <w:tc>
                          <w:tcPr>
                            <w:tcW w:w="873" w:type="dxa"/>
                            <w:tcBorders/>
                            <w:shd w:fill="auto" w:val="clear"/>
                          </w:tcPr>
                          <w:p>
                            <w:pPr>
                              <w:pStyle w:val="Normal"/>
                              <w:snapToGrid w:val="false"/>
                              <w:jc w:val="both"/>
                              <w:rPr>
                                <w:sz w:val="28"/>
                                <w:szCs w:val="28"/>
                              </w:rPr>
                            </w:pPr>
                            <w:r>
                              <w:rPr>
                                <w:sz w:val="28"/>
                                <w:szCs w:val="28"/>
                              </w:rPr>
                            </w:r>
                          </w:p>
                        </w:tc>
                        <w:tc>
                          <w:tcPr>
                            <w:tcW w:w="5387" w:type="dxa"/>
                            <w:tcBorders>
                              <w:bottom w:val="single" w:sz="4" w:space="0" w:color="000000"/>
                              <w:insideH w:val="single" w:sz="4" w:space="0" w:color="000000"/>
                            </w:tcBorders>
                            <w:shd w:fill="auto" w:val="clear"/>
                          </w:tcPr>
                          <w:p>
                            <w:pPr>
                              <w:pStyle w:val="Normal"/>
                              <w:snapToGrid w:val="false"/>
                              <w:jc w:val="both"/>
                              <w:rPr>
                                <w:sz w:val="28"/>
                                <w:szCs w:val="28"/>
                              </w:rPr>
                            </w:pPr>
                            <w:r>
                              <w:rPr>
                                <w:sz w:val="28"/>
                                <w:szCs w:val="28"/>
                              </w:rPr>
                            </w:r>
                          </w:p>
                        </w:tc>
                      </w:tr>
                      <w:tr>
                        <w:trPr>
                          <w:trHeight w:val="430" w:hRule="atLeast"/>
                        </w:trPr>
                        <w:tc>
                          <w:tcPr>
                            <w:tcW w:w="3310" w:type="dxa"/>
                            <w:tcBorders>
                              <w:top w:val="single" w:sz="4" w:space="0" w:color="000000"/>
                            </w:tcBorders>
                            <w:shd w:fill="auto" w:val="clear"/>
                          </w:tcPr>
                          <w:p>
                            <w:pPr>
                              <w:pStyle w:val="31"/>
                              <w:spacing w:before="0" w:after="120"/>
                              <w:jc w:val="center"/>
                              <w:rPr>
                                <w:sz w:val="20"/>
                                <w:szCs w:val="20"/>
                              </w:rPr>
                            </w:pPr>
                            <w:r>
                              <w:rPr>
                                <w:bCs/>
                                <w:sz w:val="20"/>
                                <w:szCs w:val="20"/>
                                <w:lang w:val="ru-RU"/>
                              </w:rPr>
                              <w:t>(подпись)</w:t>
                            </w:r>
                          </w:p>
                        </w:tc>
                        <w:tc>
                          <w:tcPr>
                            <w:tcW w:w="873" w:type="dxa"/>
                            <w:tcBorders/>
                            <w:shd w:fill="auto" w:val="clear"/>
                          </w:tcPr>
                          <w:p>
                            <w:pPr>
                              <w:pStyle w:val="Normal"/>
                              <w:snapToGrid w:val="false"/>
                              <w:jc w:val="center"/>
                              <w:rPr>
                                <w:sz w:val="20"/>
                                <w:szCs w:val="20"/>
                              </w:rPr>
                            </w:pPr>
                            <w:r>
                              <w:rPr>
                                <w:sz w:val="20"/>
                                <w:szCs w:val="20"/>
                              </w:rPr>
                            </w:r>
                          </w:p>
                        </w:tc>
                        <w:tc>
                          <w:tcPr>
                            <w:tcW w:w="5387" w:type="dxa"/>
                            <w:tcBorders>
                              <w:top w:val="single" w:sz="4" w:space="0" w:color="000000"/>
                            </w:tcBorders>
                            <w:shd w:fill="auto" w:val="clear"/>
                          </w:tcPr>
                          <w:p>
                            <w:pPr>
                              <w:pStyle w:val="Normal"/>
                              <w:jc w:val="center"/>
                              <w:rPr>
                                <w:sz w:val="20"/>
                                <w:szCs w:val="20"/>
                              </w:rPr>
                            </w:pPr>
                            <w:r>
                              <w:rPr>
                                <w:bCs/>
                                <w:sz w:val="20"/>
                                <w:szCs w:val="20"/>
                              </w:rPr>
                              <w:t>(фамилия, имя, отчество подписавшего, должность)</w:t>
                            </w:r>
                          </w:p>
                        </w:tc>
                      </w:tr>
                      <w:tr>
                        <w:trPr/>
                        <w:tc>
                          <w:tcPr>
                            <w:tcW w:w="3310" w:type="dxa"/>
                            <w:tcBorders/>
                            <w:shd w:fill="auto" w:val="clear"/>
                          </w:tcPr>
                          <w:p>
                            <w:pPr>
                              <w:pStyle w:val="Normal"/>
                              <w:snapToGrid w:val="false"/>
                              <w:jc w:val="center"/>
                              <w:rPr>
                                <w:sz w:val="20"/>
                                <w:szCs w:val="20"/>
                              </w:rPr>
                            </w:pPr>
                            <w:r>
                              <w:rPr>
                                <w:sz w:val="20"/>
                                <w:szCs w:val="20"/>
                              </w:rPr>
                            </w:r>
                          </w:p>
                        </w:tc>
                        <w:tc>
                          <w:tcPr>
                            <w:tcW w:w="873" w:type="dxa"/>
                            <w:tcBorders/>
                            <w:shd w:fill="auto" w:val="clear"/>
                          </w:tcPr>
                          <w:p>
                            <w:pPr>
                              <w:pStyle w:val="Normal"/>
                              <w:jc w:val="center"/>
                              <w:rPr>
                                <w:sz w:val="20"/>
                                <w:szCs w:val="20"/>
                              </w:rPr>
                            </w:pPr>
                            <w:r>
                              <w:rPr>
                                <w:sz w:val="20"/>
                                <w:szCs w:val="20"/>
                              </w:rPr>
                              <w:t>М.П.</w:t>
                            </w:r>
                          </w:p>
                        </w:tc>
                        <w:tc>
                          <w:tcPr>
                            <w:tcW w:w="5387" w:type="dxa"/>
                            <w:tcBorders/>
                            <w:shd w:fill="auto" w:val="clear"/>
                          </w:tcPr>
                          <w:p>
                            <w:pPr>
                              <w:pStyle w:val="Normal"/>
                              <w:tabs>
                                <w:tab w:val="left" w:pos="2727" w:leader="none"/>
                                <w:tab w:val="left" w:pos="3649" w:leader="none"/>
                              </w:tabs>
                              <w:snapToGrid w:val="false"/>
                              <w:ind w:right="34" w:hanging="0"/>
                              <w:jc w:val="center"/>
                              <w:rPr>
                                <w:sz w:val="20"/>
                                <w:szCs w:val="20"/>
                              </w:rPr>
                            </w:pPr>
                            <w:r>
                              <w:rPr>
                                <w:sz w:val="20"/>
                                <w:szCs w:val="20"/>
                              </w:rPr>
                            </w:r>
                          </w:p>
                        </w:tc>
                      </w:tr>
                    </w:tbl>
                    <w:p>
                      <w:pPr>
                        <w:pStyle w:val="Normal"/>
                        <w:rPr/>
                      </w:pPr>
                      <w:r>
                        <w:rPr/>
                        <w:t xml:space="preserve"> </w:t>
                      </w:r>
                    </w:p>
                  </w:txbxContent>
                </v:textbox>
                <w10:wrap type="square" side="largest"/>
              </v:rect>
            </w:pict>
          </mc:Fallback>
        </mc:AlternateContent>
      </w:r>
    </w:p>
    <w:p>
      <w:pPr>
        <w:pStyle w:val="Style19"/>
        <w:spacing w:before="0" w:after="0"/>
        <w:jc w:val="both"/>
        <w:rPr>
          <w:color w:val="000000"/>
          <w:sz w:val="24"/>
          <w:szCs w:val="24"/>
        </w:rPr>
      </w:pPr>
      <w:r>
        <w:rPr>
          <w:color w:val="000000"/>
          <w:sz w:val="24"/>
          <w:szCs w:val="24"/>
        </w:rPr>
      </w:r>
    </w:p>
    <w:p>
      <w:pPr>
        <w:pStyle w:val="Style19"/>
        <w:spacing w:before="0" w:after="0"/>
        <w:jc w:val="both"/>
        <w:rPr>
          <w:sz w:val="28"/>
          <w:szCs w:val="28"/>
        </w:rPr>
      </w:pPr>
      <w:r>
        <w:rPr>
          <w:sz w:val="28"/>
          <w:szCs w:val="28"/>
        </w:rPr>
      </w:r>
    </w:p>
    <w:p>
      <w:pPr>
        <w:pStyle w:val="Style19"/>
        <w:spacing w:before="0" w:after="0"/>
        <w:jc w:val="both"/>
        <w:rPr>
          <w:sz w:val="28"/>
          <w:szCs w:val="28"/>
        </w:rPr>
      </w:pPr>
      <w:r>
        <w:rPr>
          <w:sz w:val="28"/>
          <w:szCs w:val="28"/>
        </w:rPr>
      </w:r>
    </w:p>
    <w:p>
      <w:pPr>
        <w:pStyle w:val="Style19"/>
        <w:spacing w:before="0" w:after="0"/>
        <w:jc w:val="both"/>
        <w:rPr>
          <w:sz w:val="28"/>
          <w:szCs w:val="28"/>
        </w:rPr>
      </w:pPr>
      <w:r>
        <w:rPr>
          <w:sz w:val="28"/>
          <w:szCs w:val="28"/>
        </w:rPr>
      </w:r>
    </w:p>
    <w:sectPr>
      <w:type w:val="nextPage"/>
      <w:pgSz w:w="11906" w:h="16838"/>
      <w:pgMar w:left="1349" w:right="868" w:header="0" w:top="652" w:footer="0" w:bottom="652"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Symbol">
    <w:charset w:val="01"/>
    <w:family w:val="roman"/>
    <w:pitch w:val="variable"/>
  </w:font>
  <w:font w:name="Courier New">
    <w:charset w:val="cc"/>
    <w:family w:val="modern"/>
    <w:pitch w:val="default"/>
  </w:font>
  <w:font w:name="Wingdings">
    <w:charset w:val="02"/>
    <w:family w:val="auto"/>
    <w:pitch w:val="variable"/>
  </w:font>
  <w:font w:name="Liberation Sans">
    <w:altName w:val="Arial"/>
    <w:charset w:val="cc"/>
    <w:family w:val="swiss"/>
    <w:pitch w:val="variable"/>
  </w:font>
  <w:font w:name="Gelvetsky 12pt">
    <w:altName w:val="Times New Roman"/>
    <w:charset w:val="00"/>
    <w:family w:val="auto"/>
    <w:pitch w:val="default"/>
  </w:font>
  <w:font w:name="Arial">
    <w:charset w:val="cc"/>
    <w:family w:val="swiss"/>
    <w:pitch w:val="variable"/>
  </w:font>
  <w:font w:name="Calibri">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pStyle w:val="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bullet"/>
      <w:lvlText w:val=""/>
      <w:lvlJc w:val="left"/>
      <w:pPr>
        <w:ind w:left="720" w:hanging="360"/>
      </w:pPr>
      <w:rPr>
        <w:rFonts w:ascii="Symbol" w:hAnsi="Symbol" w:cs="Symbol" w:hint="default"/>
        <w:rFonts w:cs="Symbol"/>
      </w:rPr>
    </w:lvl>
  </w:abstractNum>
  <w:abstractNum w:abstractNumId="4">
    <w:lvl w:ilvl="0">
      <w:start w:val="1"/>
      <w:numFmt w:val="none"/>
      <w:suff w:val="nothing"/>
      <w:lvlText w:val=""/>
      <w:lvlJc w:val="left"/>
      <w:pPr>
        <w:ind w:left="432" w:hanging="432"/>
      </w:pPr>
      <w:rPr>
        <w:b/>
        <w:rFonts w:ascii="Times New Roman" w:hAnsi="Times New Roman" w:cs="Times New Roman"/>
      </w:rPr>
    </w:lvl>
    <w:lvl w:ilvl="1">
      <w:start w:val="1"/>
      <w:numFmt w:val="none"/>
      <w:suff w:val="nothing"/>
      <w:lvlText w:val=""/>
      <w:lvlJc w:val="left"/>
      <w:pPr>
        <w:ind w:left="576" w:hanging="576"/>
      </w:pPr>
      <w:rPr/>
    </w:lvl>
    <w:lvl w:ilvl="2">
      <w:start w:val="1"/>
      <w:numFmt w:val="none"/>
      <w:suff w:val="nothing"/>
      <w:lvlText w:val=""/>
      <w:lvlJc w:val="left"/>
      <w:pPr>
        <w:ind w:left="720" w:hanging="720"/>
      </w:pPr>
      <w:rPr/>
    </w:lvl>
    <w:lvl w:ilvl="3">
      <w:start w:val="1"/>
      <w:numFmt w:val="none"/>
      <w:suff w:val="nothing"/>
      <w:lvlText w:val=""/>
      <w:lvlJc w:val="left"/>
      <w:pPr>
        <w:ind w:left="864" w:hanging="864"/>
      </w:pPr>
      <w:rPr/>
    </w:lvl>
    <w:lvl w:ilvl="4">
      <w:start w:val="1"/>
      <w:numFmt w:val="none"/>
      <w:suff w:val="nothing"/>
      <w:lvlText w:val=""/>
      <w:lvlJc w:val="left"/>
      <w:pPr>
        <w:ind w:left="1008" w:hanging="1008"/>
      </w:pPr>
      <w:rPr/>
    </w:lvl>
    <w:lvl w:ilvl="5">
      <w:start w:val="1"/>
      <w:numFmt w:val="none"/>
      <w:suff w:val="nothing"/>
      <w:lvlText w:val=""/>
      <w:lvlJc w:val="left"/>
      <w:pPr>
        <w:ind w:left="1152" w:hanging="1152"/>
      </w:pPr>
      <w:rPr/>
    </w:lvl>
    <w:lvl w:ilvl="6">
      <w:start w:val="1"/>
      <w:numFmt w:val="none"/>
      <w:suff w:val="nothing"/>
      <w:lvlText w:val=""/>
      <w:lvlJc w:val="left"/>
      <w:pPr>
        <w:ind w:left="1296" w:hanging="1296"/>
      </w:pPr>
      <w:rPr/>
    </w:lvl>
    <w:lvl w:ilvl="7">
      <w:start w:val="1"/>
      <w:numFmt w:val="none"/>
      <w:suff w:val="nothing"/>
      <w:lvlText w:val=""/>
      <w:lvlJc w:val="left"/>
      <w:pPr>
        <w:ind w:left="1440" w:hanging="1440"/>
      </w:pPr>
      <w:rPr/>
    </w:lvl>
    <w:lvl w:ilvl="8">
      <w:start w:val="1"/>
      <w:numFmt w:val="none"/>
      <w:suff w:val="nothing"/>
      <w:lvlText w:val=""/>
      <w:lvlJc w:val="left"/>
      <w:pPr>
        <w:ind w:left="1584" w:hanging="1584"/>
      </w:pPr>
      <w:rPr/>
    </w:lvl>
  </w:abstractNum>
  <w:abstractNum w:abstractNumId="5">
    <w:lvl w:ilvl="0">
      <w:start w:val="1"/>
      <w:numFmt w:val="bullet"/>
      <w:lvlText w:val=""/>
      <w:lvlJc w:val="left"/>
      <w:pPr>
        <w:tabs>
          <w:tab w:val="num" w:pos="720"/>
        </w:tabs>
        <w:ind w:left="720" w:hanging="360"/>
      </w:pPr>
      <w:rPr>
        <w:rFonts w:ascii="Symbol" w:hAnsi="Symbol" w:cs="Symbol" w:hint="default"/>
        <w:sz w:val="28"/>
        <w:szCs w:val="28"/>
        <w:rFonts w:cs="Symbol"/>
      </w:rPr>
    </w:lvl>
  </w:abstractNum>
  <w:abstractNum w:abstractNumId="6">
    <w:lvl w:ilvl="0">
      <w:start w:val="1"/>
      <w:numFmt w:val="bullet"/>
      <w:lvlText w:val=""/>
      <w:lvlJc w:val="left"/>
      <w:pPr>
        <w:tabs>
          <w:tab w:val="num" w:pos="1321"/>
        </w:tabs>
        <w:ind w:left="1321" w:hanging="360"/>
      </w:pPr>
      <w:rPr>
        <w:rFonts w:ascii="Symbol" w:hAnsi="Symbol" w:cs="Symbol" w:hint="default"/>
        <w:sz w:val="28"/>
        <w:szCs w:val="28"/>
        <w:rFonts w:cs="Symbol"/>
        <w:color w:val="000000"/>
      </w:rPr>
    </w:lvl>
  </w:abstractNum>
  <w:abstractNum w:abstractNumId="7">
    <w:lvl w:ilvl="0">
      <w:start w:val="1"/>
      <w:numFmt w:val="decimal"/>
      <w:lvlText w:val="%1."/>
      <w:lvlJc w:val="left"/>
      <w:pPr>
        <w:ind w:left="720" w:hanging="360"/>
      </w:pPr>
      <w:rPr>
        <w:sz w:val="24"/>
        <w:b/>
        <w:szCs w:val="24"/>
        <w:rFonts w:ascii="Times New Roman" w:hAnsi="Times New Roman" w:cs="Times New Roman"/>
      </w:rPr>
    </w:lvl>
    <w:lvl w:ilvl="1">
      <w:start w:val="1"/>
      <w:numFmt w:val="decimal"/>
      <w:lvlText w:val="%1.%2."/>
      <w:lvlJc w:val="left"/>
      <w:pPr>
        <w:ind w:left="1080" w:hanging="360"/>
      </w:pPr>
      <w:rPr>
        <w:sz w:val="24"/>
        <w:b w:val="false"/>
        <w:szCs w:val="24"/>
        <w:rFonts w:ascii="Times New Roman" w:hAnsi="Times New Roman" w:cs="Times New Roman"/>
      </w:rPr>
    </w:lvl>
    <w:lvl w:ilvl="2">
      <w:start w:val="1"/>
      <w:numFmt w:val="decimal"/>
      <w:lvlText w:val="%1.%2.%3."/>
      <w:lvlJc w:val="left"/>
      <w:pPr>
        <w:ind w:left="1494" w:hanging="720"/>
      </w:pPr>
      <w:rPr/>
    </w:lvl>
    <w:lvl w:ilvl="3">
      <w:start w:val="1"/>
      <w:numFmt w:val="decimal"/>
      <w:lvlText w:val="%1.%2.%3.%4."/>
      <w:lvlJc w:val="left"/>
      <w:pPr>
        <w:ind w:left="1701" w:hanging="720"/>
      </w:pPr>
      <w:rPr/>
    </w:lvl>
    <w:lvl w:ilvl="4">
      <w:start w:val="1"/>
      <w:numFmt w:val="decimal"/>
      <w:lvlText w:val="%1.%2.%3.%4.%5."/>
      <w:lvlJc w:val="left"/>
      <w:pPr>
        <w:ind w:left="2268" w:hanging="1080"/>
      </w:pPr>
      <w:rPr/>
    </w:lvl>
    <w:lvl w:ilvl="5">
      <w:start w:val="1"/>
      <w:numFmt w:val="decimal"/>
      <w:lvlText w:val="%1.%2.%3.%4.%5.%6."/>
      <w:lvlJc w:val="left"/>
      <w:pPr>
        <w:ind w:left="2475" w:hanging="1080"/>
      </w:pPr>
      <w:rPr/>
    </w:lvl>
    <w:lvl w:ilvl="6">
      <w:start w:val="1"/>
      <w:numFmt w:val="decimal"/>
      <w:lvlText w:val="%1.%2.%3.%4.%5.%6.%7."/>
      <w:lvlJc w:val="left"/>
      <w:pPr>
        <w:ind w:left="3042" w:hanging="1440"/>
      </w:pPr>
      <w:rPr/>
    </w:lvl>
    <w:lvl w:ilvl="7">
      <w:start w:val="1"/>
      <w:numFmt w:val="decimal"/>
      <w:lvlText w:val="%1.%2.%3.%4.%5.%6.%7.%8."/>
      <w:lvlJc w:val="left"/>
      <w:pPr>
        <w:ind w:left="3249" w:hanging="1440"/>
      </w:pPr>
      <w:rPr/>
    </w:lvl>
    <w:lvl w:ilvl="8">
      <w:start w:val="1"/>
      <w:numFmt w:val="decimal"/>
      <w:lvlText w:val="%1.%2.%3.%4.%5.%6.%7.%8.%9."/>
      <w:lvlJc w:val="left"/>
      <w:pPr>
        <w:ind w:left="3816"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ru-RU" w:eastAsia="zh-CN" w:bidi="hi-IN"/>
      </w:rPr>
    </w:rPrDefault>
    <w:pPrDefault>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ru-RU" w:eastAsia="zh-CN" w:bidi="ar-SA"/>
    </w:rPr>
  </w:style>
  <w:style w:type="paragraph" w:styleId="1">
    <w:name w:val="Heading 1"/>
    <w:basedOn w:val="Normal"/>
    <w:next w:val="Normal"/>
    <w:qFormat/>
    <w:pPr>
      <w:keepNext/>
      <w:widowControl w:val="false"/>
      <w:numPr>
        <w:ilvl w:val="0"/>
        <w:numId w:val="1"/>
      </w:numPr>
      <w:shd w:fill="FFFFFF" w:val="clear"/>
      <w:tabs>
        <w:tab w:val="left" w:pos="432" w:leader="none"/>
      </w:tabs>
      <w:ind w:firstLine="709"/>
      <w:jc w:val="both"/>
      <w:outlineLvl w:val="0"/>
      <w:outlineLvl w:val="0"/>
    </w:pPr>
    <w:rPr>
      <w:color w:val="000000"/>
      <w:sz w:val="28"/>
      <w:szCs w:val="20"/>
    </w:rPr>
  </w:style>
  <w:style w:type="paragraph" w:styleId="2">
    <w:name w:val="Heading 2"/>
    <w:basedOn w:val="Normal"/>
    <w:next w:val="Normal"/>
    <w:qFormat/>
    <w:pPr>
      <w:keepNext/>
      <w:numPr>
        <w:ilvl w:val="1"/>
        <w:numId w:val="1"/>
      </w:numPr>
      <w:tabs>
        <w:tab w:val="left" w:pos="576" w:leader="none"/>
      </w:tabs>
      <w:spacing w:before="240" w:after="60"/>
      <w:ind w:left="576" w:hanging="576"/>
      <w:outlineLvl w:val="1"/>
      <w:outlineLvl w:val="1"/>
    </w:pPr>
    <w:rPr>
      <w:rFonts w:ascii="Cambria" w:hAnsi="Cambria" w:cs="Cambria"/>
      <w:b/>
      <w:bCs/>
      <w:i/>
      <w:i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Times New Roman" w:hAnsi="Times New Roman" w:cs="Times New Roman"/>
      <w:b/>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cs="Times New Roman"/>
    </w:rPr>
  </w:style>
  <w:style w:type="character" w:styleId="WW8Num5z1">
    <w:name w:val="WW8Num5z1"/>
    <w:qFormat/>
    <w:rPr>
      <w:rFonts w:cs="Times New Roman"/>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sz w:val="28"/>
      <w:szCs w:val="28"/>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color w:val="000000"/>
      <w:sz w:val="28"/>
      <w:szCs w:val="28"/>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Times New Roman" w:hAnsi="Times New Roman" w:cs="Times New Roman"/>
      <w:b/>
      <w:sz w:val="24"/>
      <w:szCs w:val="24"/>
    </w:rPr>
  </w:style>
  <w:style w:type="character" w:styleId="WW8Num9z1">
    <w:name w:val="WW8Num9z1"/>
    <w:qFormat/>
    <w:rPr>
      <w:rFonts w:ascii="Times New Roman" w:hAnsi="Times New Roman" w:cs="Times New Roman"/>
      <w:b w:val="false"/>
      <w:sz w:val="24"/>
      <w:szCs w:val="24"/>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Style12">
    <w:name w:val="Основной шрифт абзаца"/>
    <w:qFormat/>
    <w:rPr/>
  </w:style>
  <w:style w:type="character" w:styleId="Style13">
    <w:name w:val="Интернет-ссылка"/>
    <w:rPr>
      <w:color w:val="000080"/>
      <w:u w:val="single"/>
    </w:rPr>
  </w:style>
  <w:style w:type="paragraph" w:styleId="Style14">
    <w:name w:val="Заголовок"/>
    <w:basedOn w:val="Normal"/>
    <w:next w:val="Style15"/>
    <w:qFormat/>
    <w:pPr>
      <w:keepNext/>
      <w:spacing w:before="240" w:after="120"/>
    </w:pPr>
    <w:rPr>
      <w:rFonts w:ascii="Liberation Sans" w:hAnsi="Liberation Sans" w:eastAsia="Microsoft YaHei" w:cs="Mangal"/>
      <w:sz w:val="28"/>
      <w:szCs w:val="28"/>
    </w:rPr>
  </w:style>
  <w:style w:type="paragraph" w:styleId="Style15">
    <w:name w:val="Body Text"/>
    <w:basedOn w:val="Normal"/>
    <w:pPr>
      <w:spacing w:before="0" w:after="12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name w:val="Обычный (веб)"/>
    <w:basedOn w:val="Normal"/>
    <w:qFormat/>
    <w:pPr>
      <w:spacing w:before="280" w:after="280"/>
    </w:pPr>
    <w:rPr/>
  </w:style>
  <w:style w:type="paragraph" w:styleId="Style20">
    <w:name w:val="текст сноски"/>
    <w:basedOn w:val="Normal"/>
    <w:qFormat/>
    <w:pPr>
      <w:widowControl w:val="false"/>
    </w:pPr>
    <w:rPr>
      <w:rFonts w:ascii="Gelvetsky 12pt;Times New Roman" w:hAnsi="Gelvetsky 12pt;Times New Roman" w:cs="Gelvetsky 12pt;Times New Roman"/>
      <w:szCs w:val="20"/>
      <w:lang w:val="en-US"/>
    </w:rPr>
  </w:style>
  <w:style w:type="paragraph" w:styleId="Style21">
    <w:name w:val="Body Text Indent"/>
    <w:basedOn w:val="Normal"/>
    <w:pPr>
      <w:spacing w:before="0" w:after="120"/>
      <w:ind w:left="283" w:hanging="0"/>
    </w:pPr>
    <w:rPr>
      <w:lang w:val="ru-RU"/>
    </w:rPr>
  </w:style>
  <w:style w:type="paragraph" w:styleId="31">
    <w:name w:val="Основной текст 31"/>
    <w:basedOn w:val="Normal"/>
    <w:qFormat/>
    <w:pPr>
      <w:spacing w:before="0" w:after="120"/>
    </w:pPr>
    <w:rPr>
      <w:sz w:val="16"/>
      <w:szCs w:val="16"/>
      <w:lang w:val="ru-RU"/>
    </w:rPr>
  </w:style>
  <w:style w:type="paragraph" w:styleId="11">
    <w:name w:val="заголовок 11"/>
    <w:basedOn w:val="Normal"/>
    <w:next w:val="Normal"/>
    <w:qFormat/>
    <w:pPr>
      <w:keepNext/>
      <w:jc w:val="center"/>
    </w:pPr>
    <w:rPr>
      <w:szCs w:val="20"/>
    </w:rPr>
  </w:style>
  <w:style w:type="paragraph" w:styleId="TNR">
    <w:name w:val="Подзаголовок TNR"/>
    <w:basedOn w:val="2"/>
    <w:next w:val="Normal"/>
    <w:qFormat/>
    <w:pPr>
      <w:keepNext/>
      <w:numPr>
        <w:ilvl w:val="0"/>
        <w:numId w:val="0"/>
      </w:numPr>
      <w:spacing w:before="0" w:after="0"/>
      <w:ind w:left="360" w:hanging="360"/>
      <w:jc w:val="both"/>
    </w:pPr>
    <w:rPr>
      <w:rFonts w:ascii="Times New Roman" w:hAnsi="Times New Roman" w:eastAsia="MS Mincho;MS Gothic" w:cs="Times New Roman"/>
      <w:b w:val="false"/>
      <w:bCs w:val="false"/>
      <w:i w:val="false"/>
      <w:iCs w:val="false"/>
      <w:sz w:val="24"/>
      <w:szCs w:val="24"/>
    </w:rPr>
  </w:style>
  <w:style w:type="paragraph" w:styleId="ConsPlusNormal">
    <w:name w:val="ConsPlusNormal"/>
    <w:next w:val="Normal"/>
    <w:qFormat/>
    <w:pPr>
      <w:widowControl w:val="false"/>
      <w:suppressAutoHyphens w:val="true"/>
      <w:autoSpaceDE w:val="false"/>
      <w:ind w:firstLine="720"/>
    </w:pPr>
    <w:rPr>
      <w:rFonts w:ascii="Arial" w:hAnsi="Arial" w:eastAsia="Times New Roman" w:cs="Arial"/>
      <w:color w:val="auto"/>
      <w:sz w:val="20"/>
      <w:szCs w:val="20"/>
      <w:lang w:val="ru-RU" w:eastAsia="zh-CN" w:bidi="ar-SA"/>
    </w:rPr>
  </w:style>
  <w:style w:type="paragraph" w:styleId="3">
    <w:name w:val="Стиль3"/>
    <w:basedOn w:val="Normal"/>
    <w:qFormat/>
    <w:pPr>
      <w:widowControl w:val="false"/>
      <w:tabs>
        <w:tab w:val="left" w:pos="975" w:leader="none"/>
      </w:tabs>
      <w:ind w:left="748" w:hanging="0"/>
      <w:jc w:val="both"/>
      <w:textAlignment w:val="baseline"/>
    </w:pPr>
    <w:rPr>
      <w:szCs w:val="20"/>
    </w:rPr>
  </w:style>
  <w:style w:type="paragraph" w:styleId="WW">
    <w:name w:val="WW-Базовый"/>
    <w:qFormat/>
    <w:pPr>
      <w:widowControl/>
      <w:suppressAutoHyphens w:val="true"/>
      <w:spacing w:lineRule="auto" w:line="276" w:before="0" w:after="200"/>
    </w:pPr>
    <w:rPr>
      <w:rFonts w:ascii="Calibri" w:hAnsi="Calibri" w:eastAsia="Calibri" w:cs="Calibri"/>
      <w:color w:val="auto"/>
      <w:sz w:val="22"/>
      <w:szCs w:val="22"/>
      <w:lang w:val="ru-RU" w:eastAsia="zh-CN" w:bidi="ar-SA"/>
    </w:rPr>
  </w:style>
  <w:style w:type="paragraph" w:styleId="ConsNormal">
    <w:name w:val="ConsNormal"/>
    <w:qFormat/>
    <w:pPr>
      <w:widowControl w:val="false"/>
      <w:suppressAutoHyphens w:val="true"/>
      <w:autoSpaceDE w:val="false"/>
      <w:spacing w:lineRule="auto" w:line="276" w:before="0" w:after="200"/>
      <w:ind w:right="19772" w:firstLine="720"/>
    </w:pPr>
    <w:rPr>
      <w:rFonts w:ascii="Arial" w:hAnsi="Arial" w:eastAsia="Times New Roman" w:cs="Arial"/>
      <w:color w:val="auto"/>
      <w:sz w:val="20"/>
      <w:szCs w:val="20"/>
      <w:lang w:val="ru-RU" w:eastAsia="zh-CN" w:bidi="ar-SA"/>
    </w:rPr>
  </w:style>
  <w:style w:type="paragraph" w:styleId="Xl24">
    <w:name w:val="xl24"/>
    <w:basedOn w:val="WW"/>
    <w:qFormat/>
    <w:pPr>
      <w:spacing w:lineRule="auto" w:line="240" w:before="100" w:after="100"/>
      <w:jc w:val="center"/>
    </w:pPr>
    <w:rPr>
      <w:rFonts w:ascii="Times New Roman" w:hAnsi="Times New Roman" w:eastAsia="Times New Roman" w:cs="Times New Roman"/>
      <w:sz w:val="24"/>
      <w:szCs w:val="24"/>
    </w:rPr>
  </w:style>
  <w:style w:type="paragraph" w:styleId="ConsPlusTitle">
    <w:name w:val="ConsPlusTitle"/>
    <w:basedOn w:val="Normal"/>
    <w:next w:val="ConsPlusNormal"/>
    <w:qFormat/>
    <w:pPr>
      <w:widowControl w:val="false"/>
      <w:autoSpaceDE w:val="false"/>
    </w:pPr>
    <w:rPr>
      <w:rFonts w:ascii="Arial" w:hAnsi="Arial" w:cs="Arial"/>
      <w:b/>
      <w:bCs/>
      <w:sz w:val="20"/>
      <w:szCs w:val="20"/>
    </w:rPr>
  </w:style>
  <w:style w:type="paragraph" w:styleId="Text1cl">
    <w:name w:val="text1cl"/>
    <w:basedOn w:val="Normal"/>
    <w:qFormat/>
    <w:pPr>
      <w:suppressAutoHyphens w:val="false"/>
      <w:spacing w:before="144" w:after="288"/>
      <w:jc w:val="center"/>
    </w:pPr>
    <w:rPr/>
  </w:style>
  <w:style w:type="paragraph" w:styleId="Text3cl">
    <w:name w:val="text3cl"/>
    <w:basedOn w:val="Normal"/>
    <w:qFormat/>
    <w:pPr>
      <w:suppressAutoHyphens w:val="false"/>
      <w:spacing w:before="144" w:after="288"/>
    </w:pPr>
    <w:rPr/>
  </w:style>
  <w:style w:type="paragraph" w:styleId="ConsNonformat">
    <w:name w:val="ConsNonformat"/>
    <w:qFormat/>
    <w:pPr>
      <w:widowControl w:val="false"/>
      <w:suppressAutoHyphens w:val="true"/>
      <w:spacing w:lineRule="atLeast" w:line="100"/>
    </w:pPr>
    <w:rPr>
      <w:rFonts w:ascii="Courier New" w:hAnsi="Courier New" w:eastAsia="Times New Roman" w:cs="Courier New"/>
      <w:color w:val="00000A"/>
      <w:sz w:val="20"/>
      <w:szCs w:val="20"/>
      <w:lang w:val="ru-RU" w:bidi="ar-SA" w:eastAsia="zh-CN"/>
    </w:rPr>
  </w:style>
  <w:style w:type="paragraph" w:styleId="Style22">
    <w:name w:val="Style2"/>
    <w:basedOn w:val="Normal"/>
    <w:qFormat/>
    <w:pPr>
      <w:widowControl w:val="false"/>
      <w:suppressAutoHyphens w:val="false"/>
      <w:autoSpaceDE w:val="false"/>
      <w:spacing w:lineRule="exact" w:line="283"/>
    </w:pPr>
    <w:rPr/>
  </w:style>
  <w:style w:type="paragraph" w:styleId="Style23">
    <w:name w:val="Текст"/>
    <w:basedOn w:val="Normal"/>
    <w:qFormat/>
    <w:pPr>
      <w:suppressAutoHyphens w:val="false"/>
    </w:pPr>
    <w:rPr>
      <w:rFonts w:ascii="Courier New" w:hAnsi="Courier New" w:cs="Courier New"/>
      <w:sz w:val="20"/>
      <w:szCs w:val="20"/>
    </w:rPr>
  </w:style>
  <w:style w:type="paragraph" w:styleId="Style24">
    <w:name w:val="Header"/>
    <w:basedOn w:val="Normal"/>
    <w:pPr>
      <w:tabs>
        <w:tab w:val="center" w:pos="4153" w:leader="none"/>
        <w:tab w:val="right" w:pos="8306" w:leader="none"/>
      </w:tabs>
      <w:suppressAutoHyphens w:val="false"/>
    </w:pPr>
    <w:rPr>
      <w:sz w:val="20"/>
      <w:szCs w:val="20"/>
    </w:rPr>
  </w:style>
  <w:style w:type="paragraph" w:styleId="ConsPlusNonformat">
    <w:name w:val="ConsPlusNonformat"/>
    <w:qFormat/>
    <w:pPr>
      <w:widowControl/>
      <w:autoSpaceDE w:val="false"/>
    </w:pPr>
    <w:rPr>
      <w:rFonts w:ascii="Courier New" w:hAnsi="Courier New" w:eastAsia="Times New Roman" w:cs="Courier New"/>
      <w:color w:val="auto"/>
      <w:sz w:val="20"/>
      <w:szCs w:val="20"/>
      <w:lang w:val="ru-RU" w:bidi="ar-SA" w:eastAsia="zh-CN"/>
    </w:rPr>
  </w:style>
  <w:style w:type="paragraph" w:styleId="Style25">
    <w:name w:val="Красная строка"/>
    <w:basedOn w:val="Style15"/>
    <w:qFormat/>
    <w:pPr>
      <w:ind w:firstLine="210"/>
    </w:pPr>
    <w:rPr/>
  </w:style>
  <w:style w:type="paragraph" w:styleId="Style26">
    <w:name w:val="Содержимое таблицы"/>
    <w:basedOn w:val="Normal"/>
    <w:qFormat/>
    <w:pPr>
      <w:suppressLineNumbers/>
    </w:pPr>
    <w:rPr/>
  </w:style>
  <w:style w:type="paragraph" w:styleId="Style27">
    <w:name w:val="Заголовок таблицы"/>
    <w:basedOn w:val="Style26"/>
    <w:qFormat/>
    <w:pPr>
      <w:suppressLineNumbers/>
      <w:jc w:val="center"/>
    </w:pPr>
    <w:rPr>
      <w:b/>
      <w:bCs/>
    </w:rPr>
  </w:style>
  <w:style w:type="paragraph" w:styleId="Style28">
    <w:name w:val="Содержимое врезки"/>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mr.gkh@mail.ru" TargetMode="External"/><Relationship Id="rId3" Type="http://schemas.openxmlformats.org/officeDocument/2006/relationships/hyperlink" Target="http://www.list-org.com/search?type=phone&amp;val=35149-22548" TargetMode="External"/><Relationship Id="rId4" Type="http://schemas.openxmlformats.org/officeDocument/2006/relationships/hyperlink" Target="http://www.list-org.com/search?type=phone&amp;val=35149-22242"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LibreOffice/5.2.6.2$Windows_x86 LibreOffice_project/a3100ed2409ebf1c212f5048fbe377c281438fdc</Application>
  <Pages>25</Pages>
  <Words>6660</Words>
  <Characters>48296</Characters>
  <CharactersWithSpaces>55236</CharactersWithSpaces>
  <Paragraphs>585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2020-01-21T12:21:00Z</dcterms:created>
  <dc:creator>Пользователь</dc:creator>
  <dc:description/>
  <dc:language>ru-RU</dc:language>
  <cp:lastModifiedBy/>
  <cp:lastPrinted>2015-11-23T10:25:00Z</cp:lastPrinted>
  <dcterms:modified xsi:type="dcterms:W3CDTF">2020-05-12T09:02:36Z</dcterms:modified>
  <cp:revision>3</cp:revision>
  <dc:subject/>
  <dc:title>УТВЕРЖДАЮ</dc:title>
</cp:coreProperties>
</file>