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jc w:val="center"/>
        <w:rPr>
          <w:color w:val="273350"/>
          <w:sz w:val="28"/>
          <w:szCs w:val="28"/>
        </w:rPr>
      </w:pPr>
      <w:r>
        <w:rPr>
          <w:rStyle w:val="a4"/>
          <w:color w:val="273350"/>
          <w:sz w:val="28"/>
          <w:szCs w:val="28"/>
        </w:rPr>
        <w:t>С 1 марта 2025 года Трудовым кодексом РФ предусмотрены дополнительные меры по борьбе с долгами по зарплате.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С 1 марта 2025 года вступила в силу статья 158.1 Трудового кодекса РФ, которой определены основные направления противодействия формированию просроченной задолженности по заработной плате: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- профилактические меры по недопущению формирования задолженности по заработной плате, включая выявление и устранение причин и условий, способствующих несвоевременной оплате труда, мониторинг просроченной задолженности;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- привлечение работодателей к ответственности за нарушение сроков выплаты заработной платы;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- содействие реализации мероприятий по погашению просроченной задолженности по заработной плате;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- проведение разъяснительной работы с участием сторон социального партнерства по вопросам обеспечения трудовых прав работников.</w:t>
      </w:r>
    </w:p>
    <w:p w:rsidR="00724232" w:rsidRDefault="00724232" w:rsidP="00724232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Для координации этой деятельности высшими исполнительными органами субъектов Российской Федерации формируются соответствующие межведомственные комиссии, в состав которых включаются представители профильных исполнительных органов, региональных трехсторонних комиссий по регулированию социально-трудовых отношений, заинтересованных территориальных органов федеральных органов исполнительной власти, государственных внебюджетных фондов, региональных объединений работодателей и территориальных объединений организаций профессиональных союзов.</w:t>
      </w:r>
    </w:p>
    <w:p w:rsidR="00000000" w:rsidRDefault="0072423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4232"/>
    <w:rsid w:val="0072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4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42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2025-05-27T04:26:00Z</dcterms:created>
  <dcterms:modified xsi:type="dcterms:W3CDTF">2025-05-27T04:26:00Z</dcterms:modified>
</cp:coreProperties>
</file>